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EA" w:rsidRPr="006C29EA" w:rsidRDefault="006C29E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</w:t>
      </w:r>
      <w:r w:rsidRPr="006C29EA">
        <w:rPr>
          <w:b/>
          <w:sz w:val="32"/>
          <w:szCs w:val="32"/>
          <w:u w:val="single"/>
        </w:rPr>
        <w:t>Depozitář je… trochu zvláštní sklad</w:t>
      </w:r>
    </w:p>
    <w:p w:rsidR="006C29EA" w:rsidRDefault="006C29EA" w:rsidP="006C29EA">
      <w:pPr>
        <w:pStyle w:val="Odstavecseseznamem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769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Návrh muzejního depozitáře, </w:t>
      </w:r>
    </w:p>
    <w:p w:rsidR="006C29EA" w:rsidRDefault="006C29EA" w:rsidP="006C29EA">
      <w:pPr>
        <w:pStyle w:val="Odstavecseseznamem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hlavního skladu nebo depozitáře knihovny</w:t>
      </w:r>
    </w:p>
    <w:p w:rsidR="006C29EA" w:rsidRDefault="006C29EA" w:rsidP="006C29EA">
      <w:pPr>
        <w:pStyle w:val="Odstavecseseznamem"/>
        <w:spacing w:after="0"/>
        <w:jc w:val="both"/>
        <w:rPr>
          <w:iCs/>
          <w:sz w:val="28"/>
          <w:szCs w:val="28"/>
        </w:rPr>
      </w:pPr>
    </w:p>
    <w:p w:rsidR="006C29EA" w:rsidRDefault="006C29EA">
      <w:pPr>
        <w:rPr>
          <w:i/>
        </w:rPr>
      </w:pPr>
      <w:r>
        <w:rPr>
          <w:i/>
        </w:rPr>
        <w:t xml:space="preserve">                                               Prof. Ing. Petr Pernica, CSc.</w:t>
      </w:r>
    </w:p>
    <w:p w:rsidR="006C29EA" w:rsidRDefault="006C29EA">
      <w:pPr>
        <w:rPr>
          <w:i/>
        </w:rPr>
      </w:pPr>
    </w:p>
    <w:p w:rsidR="006C29EA" w:rsidRDefault="006C29EA" w:rsidP="0044088D">
      <w:pPr>
        <w:jc w:val="both"/>
        <w:rPr>
          <w:i/>
        </w:rPr>
      </w:pPr>
      <w:r>
        <w:rPr>
          <w:i/>
        </w:rPr>
        <w:t xml:space="preserve">Příspěvek uvádí do části metodických výstupů k uplatnění logistiky z výzkumného projektu NAKI DF 11P010VV24 „Efektivní metodiky podpory malých a středních subjektů kultury v prostředí národní a evropské ekonomiky“, řešeného týmem Fakulty podnikohospodářské Vysoké školy ekonomické v Praze pro MK ČR. Autor byl v rámci projektu řešitelem logistické problematiky. </w:t>
      </w:r>
    </w:p>
    <w:p w:rsidR="006C29EA" w:rsidRDefault="006C29EA" w:rsidP="0044088D">
      <w:pPr>
        <w:jc w:val="both"/>
        <w:rPr>
          <w:i/>
        </w:rPr>
      </w:pPr>
    </w:p>
    <w:p w:rsidR="006C29EA" w:rsidRPr="006C29EA" w:rsidRDefault="006C29EA" w:rsidP="0044088D">
      <w:pPr>
        <w:spacing w:after="0"/>
        <w:jc w:val="both"/>
      </w:pPr>
      <w:r>
        <w:rPr>
          <w:iCs/>
        </w:rPr>
        <w:t>Postup navrhování je veden z </w:t>
      </w:r>
      <w:r w:rsidRPr="005235D8">
        <w:rPr>
          <w:b/>
          <w:iCs/>
        </w:rPr>
        <w:t>logistického a technologického hlediska</w:t>
      </w:r>
      <w:r>
        <w:rPr>
          <w:iCs/>
        </w:rPr>
        <w:t xml:space="preserve">, nikoli z hlediska projektování budov, při němž je nutné respektovat další hlediska, jako například </w:t>
      </w:r>
      <w:r w:rsidR="00856826">
        <w:t xml:space="preserve">vztah </w:t>
      </w:r>
      <w:r w:rsidRPr="006C29EA">
        <w:t xml:space="preserve">ke stavebním částem objektů knihoven a k požadavkům na ukládání dokumentů (mezinárodní normu TNI ISO/TR 11219 </w:t>
      </w:r>
      <w:r w:rsidRPr="006C29EA">
        <w:rPr>
          <w:i/>
        </w:rPr>
        <w:t>– Kvalitativní podmínky a základní statistika pro budovy knihoven</w:t>
      </w:r>
      <w:r w:rsidRPr="006C29EA">
        <w:t xml:space="preserve">, technickou normu ČSN ISO 11799 – </w:t>
      </w:r>
      <w:r w:rsidRPr="006C29EA">
        <w:rPr>
          <w:i/>
        </w:rPr>
        <w:t>Požadavky na ukládání archivních a knihovních dokumentů</w:t>
      </w:r>
      <w:r w:rsidRPr="006C29EA">
        <w:t>)</w:t>
      </w:r>
      <w:r>
        <w:t>.</w:t>
      </w:r>
    </w:p>
    <w:p w:rsidR="006C29EA" w:rsidRPr="005235D8" w:rsidRDefault="006C29EA" w:rsidP="0044088D">
      <w:pPr>
        <w:spacing w:after="0"/>
        <w:jc w:val="both"/>
        <w:rPr>
          <w:iCs/>
        </w:rPr>
      </w:pPr>
      <w:r w:rsidRPr="005235D8">
        <w:rPr>
          <w:iCs/>
        </w:rPr>
        <w:t xml:space="preserve">Je použitelný pro </w:t>
      </w:r>
      <w:r w:rsidRPr="005235D8">
        <w:rPr>
          <w:b/>
          <w:iCs/>
        </w:rPr>
        <w:t>fundus</w:t>
      </w:r>
      <w:r w:rsidRPr="005235D8">
        <w:rPr>
          <w:iCs/>
        </w:rPr>
        <w:t xml:space="preserve"> – depozitáře </w:t>
      </w:r>
      <w:r w:rsidRPr="009A4CA4">
        <w:rPr>
          <w:b/>
          <w:iCs/>
        </w:rPr>
        <w:t>muzeí</w:t>
      </w:r>
      <w:r w:rsidRPr="005235D8">
        <w:rPr>
          <w:iCs/>
        </w:rPr>
        <w:t xml:space="preserve"> nebo pro sklady knihovních fondů větších </w:t>
      </w:r>
      <w:r w:rsidRPr="009A4CA4">
        <w:rPr>
          <w:b/>
          <w:iCs/>
        </w:rPr>
        <w:t>knihoven</w:t>
      </w:r>
      <w:r w:rsidRPr="005235D8">
        <w:rPr>
          <w:iCs/>
        </w:rPr>
        <w:t xml:space="preserve"> ad. Může být použit rovněž pro </w:t>
      </w:r>
      <w:r w:rsidRPr="005235D8">
        <w:rPr>
          <w:b/>
          <w:iCs/>
        </w:rPr>
        <w:t xml:space="preserve">fundus </w:t>
      </w:r>
      <w:proofErr w:type="spellStart"/>
      <w:r w:rsidRPr="005235D8">
        <w:rPr>
          <w:b/>
          <w:iCs/>
        </w:rPr>
        <w:t>instructus</w:t>
      </w:r>
      <w:proofErr w:type="spellEnd"/>
      <w:r w:rsidRPr="005235D8">
        <w:rPr>
          <w:iCs/>
        </w:rPr>
        <w:t xml:space="preserve"> – sklady kulis či rekvizit větších </w:t>
      </w:r>
      <w:r w:rsidRPr="009A4CA4">
        <w:rPr>
          <w:b/>
          <w:iCs/>
        </w:rPr>
        <w:t>divadel</w:t>
      </w:r>
      <w:r w:rsidRPr="005235D8">
        <w:rPr>
          <w:iCs/>
        </w:rPr>
        <w:t xml:space="preserve">, </w:t>
      </w:r>
      <w:r w:rsidR="005235D8">
        <w:rPr>
          <w:iCs/>
        </w:rPr>
        <w:t xml:space="preserve">pro sklady </w:t>
      </w:r>
      <w:r w:rsidR="005235D8" w:rsidRPr="009A4CA4">
        <w:rPr>
          <w:b/>
          <w:iCs/>
        </w:rPr>
        <w:t>filmových ateliérů</w:t>
      </w:r>
      <w:r w:rsidR="005235D8">
        <w:rPr>
          <w:iCs/>
        </w:rPr>
        <w:t xml:space="preserve"> ad</w:t>
      </w:r>
      <w:r w:rsidRPr="005235D8">
        <w:rPr>
          <w:iCs/>
        </w:rPr>
        <w:t xml:space="preserve">. </w:t>
      </w:r>
    </w:p>
    <w:p w:rsidR="006C29EA" w:rsidRPr="005235D8" w:rsidRDefault="005235D8" w:rsidP="0044088D">
      <w:pPr>
        <w:spacing w:after="0"/>
        <w:jc w:val="both"/>
        <w:rPr>
          <w:iCs/>
        </w:rPr>
      </w:pPr>
      <w:r>
        <w:rPr>
          <w:iCs/>
        </w:rPr>
        <w:t>Uplatnit jej lze při přípravě</w:t>
      </w:r>
      <w:r w:rsidR="006C29EA" w:rsidRPr="005235D8">
        <w:rPr>
          <w:iCs/>
        </w:rPr>
        <w:t xml:space="preserve"> zřízení depozitáře, ke kvalifikovanému vypracování zadání pro profesionální projektový ateliér, k součinnosti s projektanty a ke kontrole projektových prací zadavatelem.</w:t>
      </w:r>
    </w:p>
    <w:p w:rsidR="006C29EA" w:rsidRDefault="006C29EA" w:rsidP="0044088D">
      <w:pPr>
        <w:spacing w:after="0"/>
        <w:jc w:val="both"/>
        <w:rPr>
          <w:iCs/>
        </w:rPr>
      </w:pP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Zpracování návrhu (projektování) provozu muzejního depozitáře nebo skladu knihovního fondu je sledem </w:t>
      </w:r>
      <w:r>
        <w:rPr>
          <w:b/>
          <w:iCs/>
        </w:rPr>
        <w:t>kroků</w:t>
      </w:r>
      <w:r>
        <w:rPr>
          <w:iCs/>
        </w:rPr>
        <w:t>: (1) shromáždění výchozích údajů, (2) volby technologie, (3) návrhu limitního – ideálního objektu, rozboru doplňkových údajů a vypracování projektového návrhu, (4) stanovení potřebného počtu technických prostředků, nezakládá-li se výlučně na ruční manipulaci, (5) ekonomického vyhodnocení návrhu.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Návrh se zpracovává ve variantách. Ze stavebního a technologického hlediska se volí jednoúčelový nebo víceúčelový objekt. </w:t>
      </w:r>
      <w:r>
        <w:rPr>
          <w:b/>
          <w:iCs/>
        </w:rPr>
        <w:t xml:space="preserve">Jednoúčelové </w:t>
      </w:r>
      <w:r>
        <w:rPr>
          <w:iCs/>
        </w:rPr>
        <w:t xml:space="preserve">skladové objekty mohou být vhodné pro </w:t>
      </w:r>
      <w:r w:rsidRPr="009A4CA4">
        <w:rPr>
          <w:b/>
          <w:iCs/>
        </w:rPr>
        <w:t>hlavní sklady větších knihoven</w:t>
      </w:r>
      <w:r>
        <w:rPr>
          <w:iCs/>
        </w:rPr>
        <w:t>,</w:t>
      </w:r>
      <w:r>
        <w:rPr>
          <w:b/>
          <w:iCs/>
        </w:rPr>
        <w:t xml:space="preserve"> víceúčelové</w:t>
      </w:r>
      <w:r>
        <w:rPr>
          <w:iCs/>
        </w:rPr>
        <w:t xml:space="preserve"> pro </w:t>
      </w:r>
      <w:r w:rsidRPr="009A4CA4">
        <w:rPr>
          <w:b/>
          <w:iCs/>
        </w:rPr>
        <w:t>muzejní a knihovní depozitáře</w:t>
      </w:r>
      <w:r>
        <w:rPr>
          <w:iCs/>
        </w:rPr>
        <w:t>.</w:t>
      </w:r>
    </w:p>
    <w:tbl>
      <w:tblPr>
        <w:tblpPr w:leftFromText="141" w:rightFromText="141" w:bottomFromText="200" w:vertAnchor="text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3960"/>
      </w:tblGrid>
      <w:tr w:rsidR="006C29EA" w:rsidTr="006C29EA">
        <w:trPr>
          <w:cantSplit/>
          <w:trHeight w:val="2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A" w:rsidRDefault="006C29EA">
            <w:pPr>
              <w:rPr>
                <w:iCs/>
              </w:rPr>
            </w:pPr>
            <w:r>
              <w:rPr>
                <w:iCs/>
              </w:rPr>
              <w:t>HLEDISKO</w:t>
            </w:r>
          </w:p>
          <w:p w:rsidR="006C29EA" w:rsidRDefault="006C29EA">
            <w:pPr>
              <w:ind w:left="720"/>
              <w:rPr>
                <w:iCs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</w:rPr>
            </w:pPr>
            <w:r>
              <w:rPr>
                <w:iCs/>
              </w:rPr>
              <w:t xml:space="preserve">              SKLADY KUSOVÝCH MATERIÁLŮ – STAVBY</w:t>
            </w:r>
          </w:p>
        </w:tc>
      </w:tr>
      <w:tr w:rsidR="006C29EA" w:rsidTr="006C29EA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EA" w:rsidRDefault="006C29EA">
            <w:pPr>
              <w:spacing w:after="0"/>
              <w:rPr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  <w:sz w:val="20"/>
                <w:szCs w:val="20"/>
              </w:rPr>
            </w:pPr>
            <w:r>
              <w:rPr>
                <w:iCs/>
              </w:rPr>
              <w:t xml:space="preserve">              </w:t>
            </w:r>
            <w:r>
              <w:rPr>
                <w:iCs/>
                <w:sz w:val="20"/>
                <w:szCs w:val="20"/>
              </w:rPr>
              <w:t>JEDNOÚČELOVÉ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  <w:sz w:val="20"/>
                <w:szCs w:val="20"/>
              </w:rPr>
            </w:pPr>
            <w:r>
              <w:rPr>
                <w:iCs/>
              </w:rPr>
              <w:t xml:space="preserve">                  </w:t>
            </w:r>
            <w:r>
              <w:rPr>
                <w:iCs/>
                <w:sz w:val="20"/>
                <w:szCs w:val="20"/>
              </w:rPr>
              <w:t>VÍCEÚČELOVÉ</w:t>
            </w:r>
          </w:p>
        </w:tc>
      </w:tr>
      <w:tr w:rsidR="006C29EA" w:rsidTr="006C29EA">
        <w:trPr>
          <w:trHeight w:val="6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UPLATNĚNÍ: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b/>
                <w:iCs/>
              </w:rPr>
            </w:pPr>
            <w:r>
              <w:rPr>
                <w:iCs/>
              </w:rPr>
              <w:t>pro skladovací výšku od cca 12 m do cca 40 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b/>
                <w:iCs/>
              </w:rPr>
            </w:pPr>
            <w:r>
              <w:rPr>
                <w:iCs/>
              </w:rPr>
              <w:t>pro skladovací výšku do cca 12 m</w:t>
            </w:r>
          </w:p>
        </w:tc>
      </w:tr>
      <w:tr w:rsidR="006C29EA" w:rsidTr="006C29EA">
        <w:trPr>
          <w:trHeight w:val="10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A" w:rsidRDefault="006C29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TECHNOLOGIE:</w:t>
            </w:r>
          </w:p>
          <w:p w:rsidR="006C29EA" w:rsidRDefault="006C29EA">
            <w:pPr>
              <w:rPr>
                <w:iCs/>
              </w:rPr>
            </w:pPr>
          </w:p>
          <w:p w:rsidR="006C29EA" w:rsidRDefault="006C29EA">
            <w:pPr>
              <w:rPr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b/>
                <w:iCs/>
              </w:rPr>
            </w:pPr>
            <w:r>
              <w:rPr>
                <w:iCs/>
              </w:rPr>
              <w:t>většinou zakladačová s možností automatizace; je rozhodujícím faktorem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</w:rPr>
            </w:pPr>
            <w:r>
              <w:rPr>
                <w:iCs/>
              </w:rPr>
              <w:t>většinou vozíková; pružná, do určité míry přizpůsobitelná stavebnímu řešení (světlé výšce, roztečím svislých stavebních konstrukcí)</w:t>
            </w:r>
          </w:p>
        </w:tc>
      </w:tr>
      <w:tr w:rsidR="006C29EA" w:rsidTr="006C29EA">
        <w:trPr>
          <w:trHeight w:val="19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STAVBA: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jc w:val="both"/>
              <w:rPr>
                <w:iCs/>
              </w:rPr>
            </w:pPr>
            <w:r>
              <w:rPr>
                <w:iCs/>
              </w:rPr>
              <w:t>výškové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regály jsou zároveň nosnou konstrukcí střechy a obvodového pláště; podíl stavebně – energetických nákladů na celkových investicích je 25 % až 50 %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A" w:rsidRDefault="006C29EA">
            <w:pPr>
              <w:rPr>
                <w:iCs/>
              </w:rPr>
            </w:pPr>
            <w:r>
              <w:rPr>
                <w:iCs/>
              </w:rPr>
              <w:t>halové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jednopodlažní stavby s podílem stavebně – energetických nákladů na celkových investicích 60 % až 80 %</w:t>
            </w:r>
          </w:p>
          <w:p w:rsidR="006C29EA" w:rsidRDefault="006C29EA">
            <w:pPr>
              <w:rPr>
                <w:iCs/>
              </w:rPr>
            </w:pPr>
          </w:p>
        </w:tc>
      </w:tr>
      <w:tr w:rsidR="006C29EA" w:rsidTr="006C29EA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MOŽNOST ZMĚN: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A" w:rsidRDefault="006C29EA">
            <w:pPr>
              <w:rPr>
                <w:iCs/>
              </w:rPr>
            </w:pPr>
            <w:r>
              <w:rPr>
                <w:iCs/>
              </w:rPr>
              <w:t>změna regálů znamená zrušení stavby</w:t>
            </w:r>
          </w:p>
          <w:p w:rsidR="006C29EA" w:rsidRDefault="006C29EA">
            <w:pPr>
              <w:rPr>
                <w:i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iCs/>
              </w:rPr>
            </w:pPr>
            <w:r>
              <w:rPr>
                <w:iCs/>
              </w:rPr>
              <w:t>snadná – jedná se o univerzální nebo variabilní objekty; životnost stavební konstrukce zpravidla převyšuje životnost regálů a významně převyšuje životnost skladových vozíků</w:t>
            </w:r>
          </w:p>
        </w:tc>
      </w:tr>
    </w:tbl>
    <w:p w:rsidR="005235D8" w:rsidRDefault="005235D8" w:rsidP="005235D8">
      <w:pPr>
        <w:rPr>
          <w:b/>
          <w:iCs/>
        </w:rPr>
      </w:pPr>
    </w:p>
    <w:p w:rsidR="006C29EA" w:rsidRDefault="006C29EA" w:rsidP="0044088D">
      <w:pPr>
        <w:jc w:val="both"/>
        <w:rPr>
          <w:iCs/>
        </w:rPr>
      </w:pPr>
      <w:r>
        <w:rPr>
          <w:b/>
          <w:iCs/>
        </w:rPr>
        <w:t>Výchozími údaji</w:t>
      </w:r>
      <w:r>
        <w:rPr>
          <w:iCs/>
        </w:rPr>
        <w:t xml:space="preserve"> pro návrh, jež je třeba znát, jsou:</w:t>
      </w:r>
    </w:p>
    <w:p w:rsidR="006C29EA" w:rsidRDefault="006C29EA" w:rsidP="0044088D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t>skladované množství (m</w:t>
      </w:r>
      <w:r>
        <w:rPr>
          <w:iCs/>
          <w:vertAlign w:val="superscript"/>
        </w:rPr>
        <w:t>3</w:t>
      </w:r>
      <w:r>
        <w:rPr>
          <w:iCs/>
        </w:rPr>
        <w:t>, t nebo kg); z něho se odvozuje kapacita skladového zařízení (regálů) a tudíž i velikost skladu (depozitáře);</w:t>
      </w:r>
    </w:p>
    <w:p w:rsidR="006C29EA" w:rsidRDefault="006C29EA" w:rsidP="0044088D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t>obrat (m</w:t>
      </w:r>
      <w:r>
        <w:rPr>
          <w:iCs/>
          <w:vertAlign w:val="superscript"/>
        </w:rPr>
        <w:t>3</w:t>
      </w:r>
      <w:r>
        <w:rPr>
          <w:iCs/>
        </w:rPr>
        <w:t>, t nebo kg za rok); ovlivňuje potřebnou manipulační kapacitu skladových vozíků, regálových zakladačů ad., obsluhujících skladové zařízení, a kapacitu dopravních prostředků pro dopravu uvnitř objektu; na rozdíl od skladů knihoven, pro muzejní depozitáře tento ukazatel nemá větší praktický význam;</w:t>
      </w:r>
    </w:p>
    <w:p w:rsidR="006C29EA" w:rsidRDefault="006C29EA" w:rsidP="0044088D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t>počet obrátek skladu (v m</w:t>
      </w:r>
      <w:r>
        <w:rPr>
          <w:iCs/>
          <w:vertAlign w:val="superscript"/>
        </w:rPr>
        <w:t>3</w:t>
      </w:r>
      <w:r>
        <w:rPr>
          <w:iCs/>
        </w:rPr>
        <w:t xml:space="preserve"> apod. za rok); udává, kolikrát za rok se skladovaný materiál obmění; platí pro něj totéž, co pro předcházející ukazatel; v případě knihovních skladů spíše než o obměnu jde o cyklický oběh v uzavřeném okruhu, procesy akvizice a vyřazování mají na obměně menší podíl;</w:t>
      </w:r>
    </w:p>
    <w:p w:rsidR="006C29EA" w:rsidRDefault="006C29EA" w:rsidP="0044088D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t>skladované množství (velikost zásoby) v jedné sortimentní položce; má vliv na charakter skladového zařízení (regálů);</w:t>
      </w:r>
    </w:p>
    <w:p w:rsidR="006C29EA" w:rsidRDefault="006C29EA" w:rsidP="0044088D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t>velikost a četnost jednotlivých příjmů a výdajů; má vliv na charakter prostředků pro dopravu uvnitř objektu; nemá větší význam pro depozitáře.</w:t>
      </w:r>
    </w:p>
    <w:p w:rsidR="005235D8" w:rsidRDefault="005235D8" w:rsidP="005235D8">
      <w:pPr>
        <w:spacing w:after="0"/>
        <w:ind w:left="720"/>
        <w:rPr>
          <w:iCs/>
        </w:rPr>
      </w:pPr>
    </w:p>
    <w:p w:rsidR="006C29EA" w:rsidRDefault="006C29EA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4C11C8" w:rsidRDefault="004C11C8" w:rsidP="006C29EA">
      <w:pPr>
        <w:spacing w:after="0"/>
        <w:ind w:left="720"/>
        <w:jc w:val="both"/>
        <w:rPr>
          <w:iCs/>
        </w:rPr>
      </w:pPr>
    </w:p>
    <w:p w:rsidR="006C29EA" w:rsidRDefault="006C29EA" w:rsidP="006C29EA">
      <w:pPr>
        <w:spacing w:after="0"/>
        <w:jc w:val="both"/>
        <w:rPr>
          <w:iCs/>
        </w:rPr>
      </w:pPr>
      <w:r>
        <w:rPr>
          <w:iCs/>
        </w:rPr>
        <w:lastRenderedPageBreak/>
        <w:t xml:space="preserve">Skladové zařízení a jemu příslušející obsluha charakterizují </w:t>
      </w:r>
      <w:r>
        <w:rPr>
          <w:b/>
          <w:iCs/>
        </w:rPr>
        <w:t>skladové soustavy</w:t>
      </w:r>
      <w:r>
        <w:rPr>
          <w:iCs/>
        </w:rPr>
        <w:t>, a to:</w:t>
      </w:r>
    </w:p>
    <w:p w:rsidR="006C29EA" w:rsidRDefault="006C29EA" w:rsidP="006C29EA">
      <w:pPr>
        <w:spacing w:after="0"/>
        <w:rPr>
          <w:iCs/>
        </w:rPr>
      </w:pPr>
    </w:p>
    <w:p w:rsidR="006C29EA" w:rsidRDefault="00AA5C9A" w:rsidP="006C29EA">
      <w:pPr>
        <w:spacing w:after="0"/>
        <w:rPr>
          <w:iCs/>
        </w:rPr>
      </w:pPr>
      <w:r>
        <w:rPr>
          <w:iCs/>
        </w:rPr>
        <w:t>P</w:t>
      </w:r>
      <w:r w:rsidR="006C29EA">
        <w:rPr>
          <w:iCs/>
        </w:rPr>
        <w:t xml:space="preserve">ro </w:t>
      </w:r>
      <w:proofErr w:type="spellStart"/>
      <w:r w:rsidR="006C29EA">
        <w:rPr>
          <w:iCs/>
        </w:rPr>
        <w:t>nepaletizovaný</w:t>
      </w:r>
      <w:proofErr w:type="spellEnd"/>
      <w:r w:rsidR="006C29EA">
        <w:rPr>
          <w:iCs/>
        </w:rPr>
        <w:t xml:space="preserve"> (kusový) materiál:</w:t>
      </w:r>
    </w:p>
    <w:p w:rsidR="006C29EA" w:rsidRDefault="006C29EA" w:rsidP="006C29EA">
      <w:pPr>
        <w:spacing w:after="0"/>
        <w:rPr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SKLADOVÉ ZAŘÍZENÍ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OBSLUHA SKLADOVÉHO ZAŘÍZENÍ</w:t>
            </w:r>
          </w:p>
        </w:tc>
      </w:tr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63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policové </w:t>
            </w:r>
            <w:r w:rsidR="00372A63">
              <w:rPr>
                <w:rFonts w:ascii="Times New Roman" w:hAnsi="Times New Roman"/>
                <w:iCs/>
              </w:rPr>
              <w:t xml:space="preserve">a přesuvné policové </w:t>
            </w:r>
            <w:r>
              <w:rPr>
                <w:rFonts w:ascii="Times New Roman" w:hAnsi="Times New Roman"/>
                <w:iCs/>
              </w:rPr>
              <w:t>regály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ruční manipulace</w:t>
            </w:r>
          </w:p>
        </w:tc>
      </w:tr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patrové policové regály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ruční manipulace</w:t>
            </w:r>
          </w:p>
        </w:tc>
      </w:tr>
    </w:tbl>
    <w:p w:rsidR="006C29EA" w:rsidRDefault="006C29EA" w:rsidP="006C29EA">
      <w:pPr>
        <w:rPr>
          <w:iCs/>
        </w:rPr>
      </w:pPr>
    </w:p>
    <w:p w:rsidR="002D36BF" w:rsidRDefault="002D36BF" w:rsidP="006C29EA">
      <w:pPr>
        <w:rPr>
          <w:iCs/>
        </w:rPr>
      </w:pPr>
    </w:p>
    <w:p w:rsidR="003957F0" w:rsidRDefault="003957F0" w:rsidP="006C29EA">
      <w:pPr>
        <w:rPr>
          <w:iCs/>
        </w:rPr>
      </w:pPr>
      <w:r>
        <w:rPr>
          <w:iCs/>
          <w:noProof/>
          <w:lang w:eastAsia="cs-CZ"/>
        </w:rPr>
        <w:drawing>
          <wp:inline distT="0" distB="0" distL="0" distR="0">
            <wp:extent cx="3420000" cy="19656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2ca318_knih_klima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9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6F" w:rsidRDefault="003957F0" w:rsidP="0044088D">
      <w:pPr>
        <w:spacing w:after="0"/>
        <w:jc w:val="both"/>
        <w:rPr>
          <w:iCs/>
        </w:rPr>
      </w:pPr>
      <w:r>
        <w:rPr>
          <w:iCs/>
        </w:rPr>
        <w:t xml:space="preserve">Obr. 1 Skladová soustava pro </w:t>
      </w:r>
      <w:proofErr w:type="spellStart"/>
      <w:r>
        <w:rPr>
          <w:iCs/>
        </w:rPr>
        <w:t>nepaletizovaný</w:t>
      </w:r>
      <w:proofErr w:type="spellEnd"/>
      <w:r>
        <w:rPr>
          <w:iCs/>
        </w:rPr>
        <w:t xml:space="preserve"> (kusový) </w:t>
      </w:r>
    </w:p>
    <w:p w:rsidR="007310B2" w:rsidRDefault="003957F0" w:rsidP="0044088D">
      <w:pPr>
        <w:spacing w:after="0"/>
        <w:jc w:val="both"/>
        <w:rPr>
          <w:iCs/>
        </w:rPr>
      </w:pPr>
      <w:r>
        <w:rPr>
          <w:iCs/>
        </w:rPr>
        <w:t xml:space="preserve">materiál </w:t>
      </w:r>
      <w:r w:rsidR="007310B2">
        <w:rPr>
          <w:iCs/>
        </w:rPr>
        <w:t xml:space="preserve">(knihovní fondy) </w:t>
      </w:r>
      <w:r>
        <w:rPr>
          <w:iCs/>
        </w:rPr>
        <w:t xml:space="preserve">s policovými regály </w:t>
      </w:r>
    </w:p>
    <w:p w:rsidR="007310B2" w:rsidRDefault="003957F0" w:rsidP="0044088D">
      <w:pPr>
        <w:spacing w:after="0"/>
        <w:jc w:val="both"/>
        <w:rPr>
          <w:iCs/>
        </w:rPr>
      </w:pPr>
      <w:r>
        <w:rPr>
          <w:iCs/>
        </w:rPr>
        <w:t>a ruční obsluhou.</w:t>
      </w:r>
      <w:r w:rsidR="00AA5C9A">
        <w:rPr>
          <w:iCs/>
        </w:rPr>
        <w:t xml:space="preserve"> Technologie je uplatněna ve vícepodlažním </w:t>
      </w:r>
    </w:p>
    <w:p w:rsidR="003957F0" w:rsidRDefault="00AA5C9A" w:rsidP="0044088D">
      <w:pPr>
        <w:spacing w:after="0"/>
        <w:jc w:val="both"/>
        <w:rPr>
          <w:iCs/>
        </w:rPr>
      </w:pPr>
      <w:r>
        <w:rPr>
          <w:iCs/>
        </w:rPr>
        <w:t>objektu (nosnost podlah je limitujícím faktorem).</w:t>
      </w:r>
    </w:p>
    <w:p w:rsidR="003957F0" w:rsidRDefault="003957F0" w:rsidP="0044088D">
      <w:pPr>
        <w:jc w:val="both"/>
        <w:rPr>
          <w:iCs/>
        </w:rPr>
      </w:pPr>
    </w:p>
    <w:p w:rsidR="00372A63" w:rsidRDefault="00372A63" w:rsidP="006C29EA">
      <w:pPr>
        <w:rPr>
          <w:iCs/>
        </w:rPr>
      </w:pPr>
    </w:p>
    <w:p w:rsidR="002D36BF" w:rsidRDefault="002D36BF" w:rsidP="006C29EA">
      <w:pPr>
        <w:rPr>
          <w:iCs/>
        </w:rPr>
      </w:pPr>
      <w:r>
        <w:rPr>
          <w:iCs/>
          <w:noProof/>
          <w:lang w:eastAsia="cs-CZ"/>
        </w:rPr>
        <w:drawing>
          <wp:inline distT="0" distB="0" distL="0" distR="0">
            <wp:extent cx="3420000" cy="23472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6F" w:rsidRDefault="00AA5C9A" w:rsidP="0059526F">
      <w:pPr>
        <w:spacing w:after="0"/>
        <w:rPr>
          <w:iCs/>
        </w:rPr>
      </w:pPr>
      <w:r>
        <w:rPr>
          <w:iCs/>
        </w:rPr>
        <w:t xml:space="preserve">Obr. 2 Skladová soustava pro </w:t>
      </w:r>
      <w:proofErr w:type="spellStart"/>
      <w:r>
        <w:rPr>
          <w:iCs/>
        </w:rPr>
        <w:t>nepaletizovaný</w:t>
      </w:r>
      <w:proofErr w:type="spellEnd"/>
      <w:r>
        <w:rPr>
          <w:iCs/>
        </w:rPr>
        <w:t xml:space="preserve"> (kusový) </w:t>
      </w:r>
    </w:p>
    <w:p w:rsidR="0059526F" w:rsidRDefault="00AA5C9A" w:rsidP="0059526F">
      <w:pPr>
        <w:spacing w:after="0"/>
        <w:rPr>
          <w:iCs/>
        </w:rPr>
      </w:pPr>
      <w:r>
        <w:rPr>
          <w:iCs/>
        </w:rPr>
        <w:t>materiál s</w:t>
      </w:r>
      <w:r w:rsidR="0059526F">
        <w:rPr>
          <w:iCs/>
        </w:rPr>
        <w:t xml:space="preserve"> patrovými </w:t>
      </w:r>
      <w:r>
        <w:rPr>
          <w:iCs/>
        </w:rPr>
        <w:t xml:space="preserve">policovými regály a ruční obsluhou. </w:t>
      </w:r>
    </w:p>
    <w:p w:rsidR="0059526F" w:rsidRDefault="00AA5C9A" w:rsidP="0059526F">
      <w:pPr>
        <w:spacing w:after="0"/>
        <w:rPr>
          <w:iCs/>
        </w:rPr>
      </w:pPr>
      <w:r>
        <w:rPr>
          <w:iCs/>
        </w:rPr>
        <w:t xml:space="preserve">Technologie je uplatněna ve výškovém halovém objektu </w:t>
      </w:r>
    </w:p>
    <w:p w:rsidR="00372A63" w:rsidRDefault="00AA5C9A" w:rsidP="00372A63">
      <w:pPr>
        <w:spacing w:after="0"/>
        <w:rPr>
          <w:iCs/>
        </w:rPr>
      </w:pPr>
      <w:r>
        <w:rPr>
          <w:iCs/>
        </w:rPr>
        <w:t xml:space="preserve">(regály nesou </w:t>
      </w:r>
      <w:proofErr w:type="spellStart"/>
      <w:r>
        <w:rPr>
          <w:iCs/>
        </w:rPr>
        <w:t>mezipodlaží</w:t>
      </w:r>
      <w:proofErr w:type="spellEnd"/>
      <w:r>
        <w:rPr>
          <w:iCs/>
        </w:rPr>
        <w:t xml:space="preserve"> pro obsluhu</w:t>
      </w:r>
      <w:r w:rsidR="00372A63">
        <w:rPr>
          <w:iCs/>
        </w:rPr>
        <w:t xml:space="preserve">, mohou nést </w:t>
      </w:r>
    </w:p>
    <w:p w:rsidR="0059526F" w:rsidRDefault="00372A63" w:rsidP="006C29EA">
      <w:pPr>
        <w:rPr>
          <w:iCs/>
        </w:rPr>
      </w:pPr>
      <w:r>
        <w:rPr>
          <w:iCs/>
        </w:rPr>
        <w:t>i střechu a opláštění</w:t>
      </w:r>
      <w:r w:rsidR="00AA5C9A">
        <w:rPr>
          <w:iCs/>
        </w:rPr>
        <w:t>).</w:t>
      </w:r>
    </w:p>
    <w:p w:rsidR="0059526F" w:rsidRDefault="0059526F" w:rsidP="006C29EA">
      <w:pPr>
        <w:rPr>
          <w:iCs/>
        </w:rPr>
      </w:pPr>
    </w:p>
    <w:p w:rsidR="00A71CB4" w:rsidRDefault="00A71CB4" w:rsidP="006C29EA">
      <w:pPr>
        <w:rPr>
          <w:iCs/>
        </w:rPr>
      </w:pPr>
      <w:r>
        <w:rPr>
          <w:noProof/>
          <w:lang w:eastAsia="cs-CZ"/>
        </w:rPr>
        <w:drawing>
          <wp:inline distT="0" distB="0" distL="0" distR="0" wp14:anchorId="1E4D8861" wp14:editId="1F75BD4B">
            <wp:extent cx="3420000" cy="2278800"/>
            <wp:effectExtent l="0" t="0" r="0" b="762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2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6F" w:rsidRDefault="0059526F" w:rsidP="0059526F">
      <w:pPr>
        <w:spacing w:after="0"/>
        <w:rPr>
          <w:iCs/>
        </w:rPr>
      </w:pPr>
      <w:r>
        <w:rPr>
          <w:iCs/>
        </w:rPr>
        <w:t xml:space="preserve">Obr. 3 Skladová soustava pro </w:t>
      </w:r>
      <w:proofErr w:type="spellStart"/>
      <w:r>
        <w:rPr>
          <w:iCs/>
        </w:rPr>
        <w:t>nepaletizovaný</w:t>
      </w:r>
      <w:proofErr w:type="spellEnd"/>
      <w:r>
        <w:rPr>
          <w:iCs/>
        </w:rPr>
        <w:t xml:space="preserve"> (kusový) </w:t>
      </w:r>
    </w:p>
    <w:p w:rsidR="007310B2" w:rsidRDefault="0059526F" w:rsidP="0059526F">
      <w:pPr>
        <w:spacing w:after="0"/>
        <w:rPr>
          <w:iCs/>
        </w:rPr>
      </w:pPr>
      <w:r>
        <w:rPr>
          <w:iCs/>
        </w:rPr>
        <w:t xml:space="preserve">materiál </w:t>
      </w:r>
      <w:r w:rsidR="007310B2">
        <w:rPr>
          <w:iCs/>
        </w:rPr>
        <w:t xml:space="preserve">(knihovní fondy) </w:t>
      </w:r>
      <w:r>
        <w:rPr>
          <w:iCs/>
        </w:rPr>
        <w:t xml:space="preserve">s přesuvnými policovými regály </w:t>
      </w:r>
    </w:p>
    <w:p w:rsidR="007310B2" w:rsidRDefault="0059526F" w:rsidP="007310B2">
      <w:pPr>
        <w:spacing w:after="0"/>
        <w:rPr>
          <w:iCs/>
        </w:rPr>
      </w:pPr>
      <w:r>
        <w:rPr>
          <w:iCs/>
        </w:rPr>
        <w:t xml:space="preserve">a ruční obsluhou. </w:t>
      </w:r>
      <w:r w:rsidR="007310B2">
        <w:rPr>
          <w:iCs/>
        </w:rPr>
        <w:t xml:space="preserve">Technologie je uplatněna ve vícepodlažním </w:t>
      </w:r>
    </w:p>
    <w:p w:rsidR="007310B2" w:rsidRDefault="007310B2" w:rsidP="007310B2">
      <w:pPr>
        <w:spacing w:after="0"/>
        <w:rPr>
          <w:iCs/>
        </w:rPr>
      </w:pPr>
      <w:r>
        <w:rPr>
          <w:iCs/>
        </w:rPr>
        <w:t>objektu (nosnost podlah je limitujícím faktorem).</w:t>
      </w:r>
    </w:p>
    <w:p w:rsidR="0092653D" w:rsidRDefault="0092653D" w:rsidP="007310B2">
      <w:pPr>
        <w:spacing w:after="0"/>
        <w:rPr>
          <w:iCs/>
        </w:rPr>
      </w:pPr>
    </w:p>
    <w:p w:rsidR="00372A63" w:rsidRDefault="00372A63" w:rsidP="007310B2">
      <w:pPr>
        <w:spacing w:after="0"/>
        <w:rPr>
          <w:iCs/>
        </w:rPr>
      </w:pPr>
    </w:p>
    <w:p w:rsidR="0092653D" w:rsidRDefault="0092653D" w:rsidP="007310B2">
      <w:pPr>
        <w:spacing w:after="0"/>
        <w:rPr>
          <w:iCs/>
        </w:rPr>
      </w:pPr>
    </w:p>
    <w:p w:rsidR="0092653D" w:rsidRDefault="0092653D" w:rsidP="007310B2">
      <w:pPr>
        <w:spacing w:after="0"/>
        <w:rPr>
          <w:iCs/>
        </w:rPr>
      </w:pPr>
      <w:r>
        <w:rPr>
          <w:iCs/>
          <w:noProof/>
          <w:lang w:eastAsia="cs-CZ"/>
        </w:rPr>
        <w:drawing>
          <wp:inline distT="0" distB="0" distL="0" distR="0">
            <wp:extent cx="3420000" cy="2278800"/>
            <wp:effectExtent l="0" t="0" r="0" b="76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ha32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2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3D" w:rsidRDefault="0092653D" w:rsidP="007310B2">
      <w:pPr>
        <w:spacing w:after="0"/>
        <w:rPr>
          <w:iCs/>
        </w:rPr>
      </w:pPr>
    </w:p>
    <w:p w:rsidR="0092653D" w:rsidRDefault="0092653D" w:rsidP="0092653D">
      <w:pPr>
        <w:spacing w:after="0"/>
        <w:rPr>
          <w:iCs/>
        </w:rPr>
      </w:pPr>
      <w:r>
        <w:rPr>
          <w:iCs/>
        </w:rPr>
        <w:t xml:space="preserve">Obr. 4 Skladová soustava pro </w:t>
      </w:r>
      <w:proofErr w:type="spellStart"/>
      <w:r>
        <w:rPr>
          <w:iCs/>
        </w:rPr>
        <w:t>nepaletizovaný</w:t>
      </w:r>
      <w:proofErr w:type="spellEnd"/>
      <w:r>
        <w:rPr>
          <w:iCs/>
        </w:rPr>
        <w:t xml:space="preserve"> (kusový) </w:t>
      </w:r>
    </w:p>
    <w:p w:rsidR="00C42187" w:rsidRDefault="0092653D" w:rsidP="0092653D">
      <w:pPr>
        <w:spacing w:after="0"/>
        <w:rPr>
          <w:iCs/>
        </w:rPr>
      </w:pPr>
      <w:r>
        <w:rPr>
          <w:iCs/>
        </w:rPr>
        <w:t>materiál (sbírkové</w:t>
      </w:r>
      <w:r w:rsidR="00C42187">
        <w:rPr>
          <w:iCs/>
        </w:rPr>
        <w:t xml:space="preserve"> fondy </w:t>
      </w:r>
      <w:r w:rsidR="009A4CA4">
        <w:rPr>
          <w:iCs/>
        </w:rPr>
        <w:t xml:space="preserve">muzea či </w:t>
      </w:r>
      <w:r w:rsidR="00C42187">
        <w:rPr>
          <w:iCs/>
        </w:rPr>
        <w:t xml:space="preserve">galerie výtvarného umění </w:t>
      </w:r>
    </w:p>
    <w:p w:rsidR="00C42187" w:rsidRDefault="00C42187" w:rsidP="0092653D">
      <w:pPr>
        <w:spacing w:after="0"/>
        <w:rPr>
          <w:iCs/>
        </w:rPr>
      </w:pPr>
      <w:r>
        <w:rPr>
          <w:iCs/>
        </w:rPr>
        <w:t>– závěsné obrazy) s výsuvnými regály</w:t>
      </w:r>
      <w:r w:rsidR="00372A63">
        <w:rPr>
          <w:iCs/>
        </w:rPr>
        <w:t xml:space="preserve"> </w:t>
      </w:r>
      <w:r>
        <w:rPr>
          <w:iCs/>
        </w:rPr>
        <w:t>a ruční obsluhou.</w:t>
      </w:r>
    </w:p>
    <w:p w:rsidR="0059526F" w:rsidRDefault="0059526F" w:rsidP="006C29EA">
      <w:pPr>
        <w:rPr>
          <w:iCs/>
        </w:rPr>
      </w:pPr>
    </w:p>
    <w:p w:rsidR="00C42187" w:rsidRDefault="00C42187" w:rsidP="006C29EA">
      <w:pPr>
        <w:rPr>
          <w:iCs/>
        </w:rPr>
      </w:pPr>
    </w:p>
    <w:p w:rsidR="004C11C8" w:rsidRDefault="004C11C8" w:rsidP="006C29EA">
      <w:pPr>
        <w:rPr>
          <w:iCs/>
        </w:rPr>
      </w:pPr>
    </w:p>
    <w:p w:rsidR="004C11C8" w:rsidRDefault="004C11C8" w:rsidP="006C29EA">
      <w:pPr>
        <w:rPr>
          <w:iCs/>
        </w:rPr>
      </w:pPr>
    </w:p>
    <w:p w:rsidR="004C11C8" w:rsidRDefault="004C11C8" w:rsidP="006C29EA">
      <w:pPr>
        <w:rPr>
          <w:iCs/>
        </w:rPr>
      </w:pPr>
    </w:p>
    <w:p w:rsidR="004C11C8" w:rsidRDefault="004C11C8" w:rsidP="006C29EA">
      <w:pPr>
        <w:rPr>
          <w:iCs/>
        </w:rPr>
      </w:pPr>
    </w:p>
    <w:p w:rsidR="006C29EA" w:rsidRDefault="00AA5C9A" w:rsidP="006C29EA">
      <w:pPr>
        <w:rPr>
          <w:iCs/>
        </w:rPr>
      </w:pPr>
      <w:r>
        <w:rPr>
          <w:iCs/>
        </w:rPr>
        <w:lastRenderedPageBreak/>
        <w:t>P</w:t>
      </w:r>
      <w:r w:rsidR="006C29EA">
        <w:rPr>
          <w:iCs/>
        </w:rPr>
        <w:t xml:space="preserve">ro </w:t>
      </w:r>
      <w:proofErr w:type="spellStart"/>
      <w:r w:rsidR="006C29EA">
        <w:rPr>
          <w:iCs/>
        </w:rPr>
        <w:t>paletizovaný</w:t>
      </w:r>
      <w:proofErr w:type="spellEnd"/>
      <w:r w:rsidR="006C29EA">
        <w:rPr>
          <w:iCs/>
        </w:rPr>
        <w:t xml:space="preserve"> materiál: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SKLADOVÉ ZAŘÍZENÍ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OBSLUHA SKLADOVÉHO ZAŘÍZENÍ</w:t>
            </w:r>
          </w:p>
        </w:tc>
      </w:tr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řadové paletové regály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čelní vysokozdvižný vozík nebo </w:t>
            </w:r>
            <w:proofErr w:type="spellStart"/>
            <w:r>
              <w:rPr>
                <w:rFonts w:ascii="Times New Roman" w:hAnsi="Times New Roman"/>
                <w:iCs/>
              </w:rPr>
              <w:t>retrack</w:t>
            </w:r>
            <w:proofErr w:type="spellEnd"/>
          </w:p>
        </w:tc>
      </w:tr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podlahové blokové stohování (bez regálů)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čelní vysokozdvižný vozík</w:t>
            </w:r>
          </w:p>
        </w:tc>
      </w:tr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přesuvné řadové regály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čelní vysokozdvižný vozík</w:t>
            </w:r>
          </w:p>
        </w:tc>
      </w:tr>
    </w:tbl>
    <w:p w:rsidR="006C29EA" w:rsidRDefault="006C29EA" w:rsidP="006C29EA">
      <w:pPr>
        <w:rPr>
          <w:iCs/>
        </w:rPr>
      </w:pPr>
    </w:p>
    <w:p w:rsidR="00134F4A" w:rsidRDefault="00134F4A" w:rsidP="00134F4A">
      <w:pPr>
        <w:ind w:left="2124"/>
        <w:rPr>
          <w:iCs/>
        </w:rPr>
      </w:pPr>
    </w:p>
    <w:p w:rsidR="002D36BF" w:rsidRDefault="007310B2" w:rsidP="00134F4A">
      <w:pPr>
        <w:rPr>
          <w:iCs/>
        </w:rPr>
      </w:pPr>
      <w:r>
        <w:rPr>
          <w:noProof/>
          <w:lang w:eastAsia="cs-CZ"/>
        </w:rPr>
        <w:drawing>
          <wp:inline distT="0" distB="0" distL="0" distR="0" wp14:anchorId="789B8681" wp14:editId="4096136D">
            <wp:extent cx="3412490" cy="2282190"/>
            <wp:effectExtent l="0" t="0" r="0" b="381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B2" w:rsidRDefault="0092653D" w:rsidP="007310B2">
      <w:pPr>
        <w:spacing w:after="0"/>
        <w:rPr>
          <w:iCs/>
        </w:rPr>
      </w:pPr>
      <w:r>
        <w:rPr>
          <w:iCs/>
        </w:rPr>
        <w:t>Obr 5</w:t>
      </w:r>
      <w:r w:rsidR="007310B2">
        <w:rPr>
          <w:iCs/>
        </w:rPr>
        <w:t xml:space="preserve">. Skladová soustava pro </w:t>
      </w:r>
      <w:proofErr w:type="spellStart"/>
      <w:r w:rsidR="007310B2">
        <w:rPr>
          <w:iCs/>
        </w:rPr>
        <w:t>paletizovaný</w:t>
      </w:r>
      <w:proofErr w:type="spellEnd"/>
      <w:r w:rsidR="007310B2">
        <w:rPr>
          <w:iCs/>
        </w:rPr>
        <w:t xml:space="preserve"> materiál </w:t>
      </w:r>
    </w:p>
    <w:p w:rsidR="007310B2" w:rsidRDefault="007310B2" w:rsidP="007310B2">
      <w:pPr>
        <w:spacing w:after="0"/>
        <w:rPr>
          <w:iCs/>
        </w:rPr>
      </w:pPr>
      <w:r>
        <w:rPr>
          <w:iCs/>
        </w:rPr>
        <w:t xml:space="preserve">(sbírkové </w:t>
      </w:r>
      <w:r w:rsidR="009A4CA4">
        <w:rPr>
          <w:iCs/>
        </w:rPr>
        <w:t xml:space="preserve">fondy </w:t>
      </w:r>
      <w:r>
        <w:rPr>
          <w:iCs/>
        </w:rPr>
        <w:t>technického muzea) s přesuvnými</w:t>
      </w:r>
    </w:p>
    <w:p w:rsidR="007310B2" w:rsidRDefault="007310B2" w:rsidP="00C42187">
      <w:pPr>
        <w:spacing w:after="0"/>
        <w:rPr>
          <w:iCs/>
        </w:rPr>
      </w:pPr>
      <w:r>
        <w:rPr>
          <w:iCs/>
        </w:rPr>
        <w:t>řadovými regály a obsluhou vysokozdvižným vozíkem.</w:t>
      </w:r>
    </w:p>
    <w:p w:rsidR="004C11C8" w:rsidRDefault="004C11C8" w:rsidP="00C42187">
      <w:pPr>
        <w:spacing w:after="0"/>
        <w:rPr>
          <w:iCs/>
        </w:rPr>
      </w:pPr>
    </w:p>
    <w:p w:rsidR="00EB5CA8" w:rsidRDefault="00EB5CA8" w:rsidP="00C42187">
      <w:pPr>
        <w:spacing w:after="0"/>
        <w:rPr>
          <w:iCs/>
        </w:rPr>
      </w:pPr>
    </w:p>
    <w:p w:rsidR="00372A63" w:rsidRDefault="00EB5CA8" w:rsidP="0044088D">
      <w:pPr>
        <w:spacing w:after="0"/>
        <w:jc w:val="both"/>
        <w:rPr>
          <w:iCs/>
        </w:rPr>
      </w:pPr>
      <w:r>
        <w:rPr>
          <w:iCs/>
        </w:rPr>
        <w:t>Řešení skladu (depozitáře) s přesuvnými řadovými regály je ve srovnání se stacionárními řadovými regály výhodnější: při stejné výšce skladu (</w:t>
      </w:r>
      <w:r w:rsidR="004C11C8">
        <w:rPr>
          <w:iCs/>
        </w:rPr>
        <w:t xml:space="preserve">například </w:t>
      </w:r>
      <w:r>
        <w:rPr>
          <w:iCs/>
        </w:rPr>
        <w:t>7 metrů</w:t>
      </w:r>
      <w:r w:rsidR="004C11C8">
        <w:rPr>
          <w:iCs/>
        </w:rPr>
        <w:t>, tj. se třemi paletovými buňkami v regálu nad sebou) a stejné kapacitě skladu, vychází plocha skladu menší o 46 %, investiční náklady o 39 % nižší a celkové náklady (včetně provozních nákladů) o 38 % levnější</w:t>
      </w:r>
      <w:r w:rsidR="00F74C51">
        <w:rPr>
          <w:iCs/>
        </w:rPr>
        <w:t>, neboť nejsou nutné manipulační uličky mezi všemi regály.</w:t>
      </w:r>
    </w:p>
    <w:p w:rsidR="004C11C8" w:rsidRDefault="004C11C8" w:rsidP="0044088D">
      <w:pPr>
        <w:spacing w:after="0"/>
        <w:jc w:val="both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4C11C8" w:rsidRDefault="004C11C8" w:rsidP="00C42187">
      <w:pPr>
        <w:spacing w:after="0"/>
        <w:rPr>
          <w:iCs/>
        </w:rPr>
      </w:pPr>
    </w:p>
    <w:p w:rsidR="006C29EA" w:rsidRDefault="00AA5C9A" w:rsidP="006C29EA">
      <w:pPr>
        <w:rPr>
          <w:iCs/>
        </w:rPr>
      </w:pPr>
      <w:r>
        <w:rPr>
          <w:iCs/>
        </w:rPr>
        <w:lastRenderedPageBreak/>
        <w:t>P</w:t>
      </w:r>
      <w:r w:rsidR="006C29EA">
        <w:rPr>
          <w:iCs/>
        </w:rPr>
        <w:t>ro materiál v ukládacích bednách: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SKLADOVÉ ZAŘÍZENÍ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OBSLUHA SKLADOVÉHO ZAŘÍZENÍ</w:t>
            </w:r>
          </w:p>
        </w:tc>
      </w:tr>
      <w:tr w:rsidR="006C29EA" w:rsidTr="006C29E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řadové regály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EA" w:rsidRDefault="006C29E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regálový zakladač (automatický)</w:t>
            </w:r>
          </w:p>
        </w:tc>
      </w:tr>
    </w:tbl>
    <w:p w:rsidR="007310B2" w:rsidRDefault="007310B2" w:rsidP="006C29EA">
      <w:pPr>
        <w:rPr>
          <w:iCs/>
        </w:rPr>
      </w:pPr>
    </w:p>
    <w:p w:rsidR="00134F4A" w:rsidRDefault="00134F4A" w:rsidP="006C29EA">
      <w:pPr>
        <w:rPr>
          <w:iCs/>
        </w:rPr>
      </w:pPr>
      <w:r>
        <w:rPr>
          <w:iCs/>
          <w:noProof/>
          <w:lang w:eastAsia="cs-CZ"/>
        </w:rPr>
        <w:drawing>
          <wp:inline distT="0" distB="0" distL="0" distR="0">
            <wp:extent cx="3428101" cy="3766457"/>
            <wp:effectExtent l="0" t="0" r="127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49" b="3572"/>
                    <a:stretch/>
                  </pic:blipFill>
                  <pic:spPr bwMode="auto">
                    <a:xfrm>
                      <a:off x="0" y="0"/>
                      <a:ext cx="3430800" cy="3769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F4A" w:rsidRDefault="009A4CA4" w:rsidP="007310B2">
      <w:pPr>
        <w:spacing w:after="0"/>
        <w:rPr>
          <w:iCs/>
        </w:rPr>
      </w:pPr>
      <w:r>
        <w:rPr>
          <w:iCs/>
        </w:rPr>
        <w:t>Obr. 6</w:t>
      </w:r>
      <w:r w:rsidR="007310B2">
        <w:rPr>
          <w:iCs/>
        </w:rPr>
        <w:t xml:space="preserve"> Skladová soustava pro </w:t>
      </w:r>
      <w:proofErr w:type="spellStart"/>
      <w:r w:rsidR="007310B2">
        <w:rPr>
          <w:iCs/>
        </w:rPr>
        <w:t>nepaletizovaný</w:t>
      </w:r>
      <w:proofErr w:type="spellEnd"/>
      <w:r w:rsidR="007310B2">
        <w:rPr>
          <w:iCs/>
        </w:rPr>
        <w:t xml:space="preserve"> (kusový)</w:t>
      </w:r>
    </w:p>
    <w:p w:rsidR="0092653D" w:rsidRDefault="007310B2" w:rsidP="007310B2">
      <w:pPr>
        <w:spacing w:after="0"/>
        <w:rPr>
          <w:iCs/>
        </w:rPr>
      </w:pPr>
      <w:r>
        <w:rPr>
          <w:iCs/>
        </w:rPr>
        <w:t xml:space="preserve">materiál </w:t>
      </w:r>
      <w:r w:rsidR="0092653D">
        <w:rPr>
          <w:iCs/>
        </w:rPr>
        <w:t xml:space="preserve">(knihovní fondy) </w:t>
      </w:r>
      <w:r>
        <w:rPr>
          <w:iCs/>
        </w:rPr>
        <w:t xml:space="preserve">v ukládacích bednách, </w:t>
      </w:r>
    </w:p>
    <w:p w:rsidR="0092653D" w:rsidRDefault="007310B2" w:rsidP="0092653D">
      <w:pPr>
        <w:spacing w:after="0"/>
        <w:rPr>
          <w:iCs/>
        </w:rPr>
      </w:pPr>
      <w:r>
        <w:rPr>
          <w:iCs/>
        </w:rPr>
        <w:t>s výškovými řadovými regály</w:t>
      </w:r>
      <w:r w:rsidR="0092653D">
        <w:rPr>
          <w:iCs/>
        </w:rPr>
        <w:t xml:space="preserve"> (výška 38 metrů)</w:t>
      </w:r>
      <w:r>
        <w:rPr>
          <w:iCs/>
        </w:rPr>
        <w:t xml:space="preserve"> a obsluhou </w:t>
      </w:r>
    </w:p>
    <w:p w:rsidR="00A71CB4" w:rsidRDefault="007310B2" w:rsidP="00C42187">
      <w:pPr>
        <w:spacing w:after="0"/>
        <w:rPr>
          <w:iCs/>
        </w:rPr>
      </w:pPr>
      <w:r>
        <w:rPr>
          <w:iCs/>
        </w:rPr>
        <w:t>automatickými regálovými zakladači.</w:t>
      </w:r>
    </w:p>
    <w:p w:rsidR="00F74C51" w:rsidRDefault="00F74C51" w:rsidP="00C42187">
      <w:pPr>
        <w:spacing w:after="0"/>
        <w:rPr>
          <w:iCs/>
        </w:rPr>
      </w:pPr>
    </w:p>
    <w:p w:rsidR="00F74C51" w:rsidRDefault="00F74C51" w:rsidP="00C42187">
      <w:pPr>
        <w:spacing w:after="0"/>
        <w:rPr>
          <w:iCs/>
        </w:rPr>
      </w:pPr>
    </w:p>
    <w:p w:rsidR="00F74C51" w:rsidRDefault="00F74C51" w:rsidP="00C42187">
      <w:pPr>
        <w:spacing w:after="0"/>
        <w:rPr>
          <w:iCs/>
        </w:rPr>
      </w:pPr>
    </w:p>
    <w:p w:rsidR="006C29EA" w:rsidRDefault="006C29EA" w:rsidP="0044088D">
      <w:pPr>
        <w:jc w:val="both"/>
        <w:rPr>
          <w:iCs/>
        </w:rPr>
      </w:pPr>
      <w:r>
        <w:rPr>
          <w:b/>
          <w:bCs/>
          <w:iCs/>
        </w:rPr>
        <w:t xml:space="preserve">Rozmístění skladovacích jednotek ve skladu (depozitáři) </w:t>
      </w:r>
      <w:r>
        <w:rPr>
          <w:iCs/>
        </w:rPr>
        <w:t>může být:</w:t>
      </w:r>
    </w:p>
    <w:p w:rsidR="006C29EA" w:rsidRDefault="006C29EA" w:rsidP="0044088D">
      <w:pPr>
        <w:numPr>
          <w:ilvl w:val="0"/>
          <w:numId w:val="2"/>
        </w:numPr>
        <w:spacing w:after="0"/>
        <w:jc w:val="both"/>
        <w:rPr>
          <w:iCs/>
        </w:rPr>
      </w:pPr>
      <w:r>
        <w:rPr>
          <w:b/>
          <w:bCs/>
          <w:iCs/>
        </w:rPr>
        <w:t>druhové</w:t>
      </w:r>
      <w:r>
        <w:rPr>
          <w:iCs/>
        </w:rPr>
        <w:t>, kdy pro každý druh je trvale vyhrazeno určité místo, což je přehledný způsob, vhodný hlavně ve skladových soustavách s ruční obsluhou skladového zařízení; je vhodné v </w:t>
      </w:r>
      <w:r>
        <w:rPr>
          <w:b/>
          <w:iCs/>
        </w:rPr>
        <w:t>muzejních</w:t>
      </w:r>
      <w:r>
        <w:rPr>
          <w:iCs/>
        </w:rPr>
        <w:t xml:space="preserve"> </w:t>
      </w:r>
      <w:r>
        <w:rPr>
          <w:b/>
          <w:iCs/>
        </w:rPr>
        <w:t>depozitářích</w:t>
      </w:r>
      <w:r>
        <w:rPr>
          <w:iCs/>
        </w:rPr>
        <w:t xml:space="preserve"> pro všechny kategorie sbírkových fondů;</w:t>
      </w:r>
    </w:p>
    <w:p w:rsidR="006C29EA" w:rsidRDefault="006C29EA" w:rsidP="0044088D">
      <w:pPr>
        <w:numPr>
          <w:ilvl w:val="0"/>
          <w:numId w:val="2"/>
        </w:numPr>
        <w:spacing w:after="0"/>
        <w:jc w:val="both"/>
        <w:rPr>
          <w:iCs/>
        </w:rPr>
      </w:pPr>
      <w:r>
        <w:rPr>
          <w:b/>
          <w:bCs/>
          <w:iCs/>
        </w:rPr>
        <w:t>záměnné (náhodné)</w:t>
      </w:r>
      <w:r>
        <w:rPr>
          <w:iCs/>
        </w:rPr>
        <w:t xml:space="preserve">, při němž se skladovací jednotky zakládají na nejbližší volné místo; tento způsob vede k dobrému využití kapacity skladového zařízení, avšak uskladňování a vyskladňování musí být řízené počítačem; je možné v automatizovaných </w:t>
      </w:r>
      <w:r>
        <w:rPr>
          <w:b/>
          <w:iCs/>
        </w:rPr>
        <w:t>skladech knihoven</w:t>
      </w:r>
      <w:r>
        <w:rPr>
          <w:iCs/>
        </w:rPr>
        <w:t xml:space="preserve"> se skladovacími jednotkami na bázi ukládacích beden;</w:t>
      </w:r>
    </w:p>
    <w:p w:rsidR="006C29EA" w:rsidRDefault="006C29EA" w:rsidP="0044088D">
      <w:pPr>
        <w:numPr>
          <w:ilvl w:val="0"/>
          <w:numId w:val="2"/>
        </w:numPr>
        <w:spacing w:after="0"/>
        <w:jc w:val="both"/>
        <w:rPr>
          <w:iCs/>
        </w:rPr>
      </w:pPr>
      <w:r>
        <w:rPr>
          <w:b/>
          <w:bCs/>
          <w:iCs/>
        </w:rPr>
        <w:t>podle souborů</w:t>
      </w:r>
      <w:r>
        <w:rPr>
          <w:iCs/>
        </w:rPr>
        <w:t xml:space="preserve"> (</w:t>
      </w:r>
      <w:r w:rsidR="00372A63">
        <w:rPr>
          <w:iCs/>
        </w:rPr>
        <w:t>na základě komplementarity), kde</w:t>
      </w:r>
      <w:r>
        <w:rPr>
          <w:iCs/>
        </w:rPr>
        <w:t xml:space="preserve"> se vychází z reality obvyklého společného vyskladňování dotyčných položek (ve formě zkompletovaných souborů mohou být již i skladovány); je účelné v </w:t>
      </w:r>
      <w:r>
        <w:rPr>
          <w:b/>
          <w:iCs/>
        </w:rPr>
        <w:t>divadelních skladech kulis a rekvizit</w:t>
      </w:r>
      <w:r>
        <w:rPr>
          <w:iCs/>
        </w:rPr>
        <w:t xml:space="preserve"> – soubory lze vytvářet pro jednotlivé inscenace na bázi palet, </w:t>
      </w:r>
      <w:proofErr w:type="spellStart"/>
      <w:r>
        <w:rPr>
          <w:iCs/>
        </w:rPr>
        <w:t>roltejnerů</w:t>
      </w:r>
      <w:proofErr w:type="spellEnd"/>
      <w:r>
        <w:rPr>
          <w:iCs/>
        </w:rPr>
        <w:t xml:space="preserve"> nebo stohovatelných přepravek opatřených podvozky, přemísťování mezi skladem a </w:t>
      </w:r>
      <w:r>
        <w:rPr>
          <w:iCs/>
        </w:rPr>
        <w:lastRenderedPageBreak/>
        <w:t>jevištěm je z hledisek časové a manipulační náročnosti velmi racionální, uspořádání ve skladu je přehledné, kontrola je snadná).</w:t>
      </w:r>
    </w:p>
    <w:p w:rsidR="006C29EA" w:rsidRDefault="006C29EA" w:rsidP="0044088D">
      <w:pPr>
        <w:jc w:val="both"/>
        <w:rPr>
          <w:iCs/>
        </w:rPr>
      </w:pP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Po volbě vhodné skladové technologie následuje jako další krok </w:t>
      </w:r>
      <w:r>
        <w:rPr>
          <w:b/>
          <w:iCs/>
        </w:rPr>
        <w:t>navržení limitního – ideálního skladu (skladového jádra)</w:t>
      </w:r>
      <w:r>
        <w:rPr>
          <w:iCs/>
        </w:rPr>
        <w:t xml:space="preserve">. 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Vychází z obdélníkového půdorysu skladu, jehož šířka B (v metrech) se pro sklad </w:t>
      </w:r>
      <w:proofErr w:type="spellStart"/>
      <w:r>
        <w:rPr>
          <w:iCs/>
        </w:rPr>
        <w:t>paletizovaného</w:t>
      </w:r>
      <w:proofErr w:type="spellEnd"/>
      <w:r>
        <w:rPr>
          <w:iCs/>
        </w:rPr>
        <w:t xml:space="preserve"> materiálu vypočítá ze vzorce:</w:t>
      </w:r>
    </w:p>
    <w:p w:rsidR="006C29EA" w:rsidRDefault="006C29EA" w:rsidP="005235D8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br/>
      </w:r>
      <m:oMath>
        <m:r>
          <w:rPr>
            <w:rFonts w:ascii="Cambria Math" w:hAnsi="Cambria Math"/>
          </w:rPr>
          <m:t xml:space="preserve">                                                          </m:t>
        </m:r>
        <m:r>
          <m:rPr>
            <m:sty m:val="p"/>
          </m:rPr>
          <w:rPr>
            <w:rFonts w:ascii="Cambria Math" w:hAnsi="Cambria Math"/>
          </w:rPr>
          <m:t xml:space="preserve">B= </m:t>
        </m:r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 .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 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 n</m:t>
                </m:r>
              </m:den>
            </m:f>
          </m:e>
        </m:rad>
      </m:oMath>
      <w:r>
        <w:rPr>
          <w:rFonts w:eastAsiaTheme="minorEastAsia"/>
          <w:iCs/>
        </w:rPr>
        <w:t xml:space="preserve"> ,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kde: P – počet paletových míst, </w:t>
      </w:r>
      <w:proofErr w:type="spellStart"/>
      <w:r>
        <w:rPr>
          <w:iCs/>
        </w:rPr>
        <w:t>m</w:t>
      </w:r>
      <w:r>
        <w:rPr>
          <w:iCs/>
          <w:vertAlign w:val="subscript"/>
        </w:rPr>
        <w:t>L</w:t>
      </w:r>
      <w:proofErr w:type="spellEnd"/>
      <w:r>
        <w:rPr>
          <w:iCs/>
          <w:vertAlign w:val="subscript"/>
        </w:rPr>
        <w:t xml:space="preserve">, </w:t>
      </w:r>
      <w:proofErr w:type="spellStart"/>
      <w:r>
        <w:rPr>
          <w:iCs/>
        </w:rPr>
        <w:t>m</w:t>
      </w:r>
      <w:r>
        <w:rPr>
          <w:iCs/>
          <w:vertAlign w:val="subscript"/>
        </w:rPr>
        <w:t>B</w:t>
      </w:r>
      <w:proofErr w:type="spellEnd"/>
      <w:r>
        <w:rPr>
          <w:iCs/>
          <w:vertAlign w:val="subscript"/>
        </w:rPr>
        <w:t xml:space="preserve"> </w:t>
      </w:r>
      <w:r>
        <w:rPr>
          <w:iCs/>
        </w:rPr>
        <w:t xml:space="preserve">– modul (je dán například zakládáním paletových jednotek do řadových regálů, podélně nebo příčně, a tomu odpovídajícím užitým druhem a typem manipulačního prostředku, například vysokozdvižného vozíku podepřeného, čelního nebo </w:t>
      </w:r>
      <w:proofErr w:type="spellStart"/>
      <w:r>
        <w:rPr>
          <w:iCs/>
        </w:rPr>
        <w:t>retrack</w:t>
      </w:r>
      <w:proofErr w:type="spellEnd"/>
      <w:r>
        <w:rPr>
          <w:iCs/>
        </w:rPr>
        <w:t>), n – počet paletových jednotek uskladněných ve sloupci regálu nad sebou (počet podlaží regálu).</w:t>
      </w:r>
    </w:p>
    <w:p w:rsidR="006C29EA" w:rsidRDefault="006C29EA" w:rsidP="005235D8">
      <w:pPr>
        <w:rPr>
          <w:iCs/>
        </w:rPr>
      </w:pPr>
      <w:r>
        <w:rPr>
          <w:iCs/>
        </w:rPr>
        <w:t>Pro výpočet délky skladu L (v metrech) se užije vztah:</w:t>
      </w:r>
    </w:p>
    <w:p w:rsidR="006C29EA" w:rsidRDefault="006C29EA" w:rsidP="005235D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L=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P .  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L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.  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 n .  B</m:t>
            </m:r>
          </m:den>
        </m:f>
      </m:oMath>
      <w:r>
        <w:rPr>
          <w:rFonts w:eastAsiaTheme="minorEastAsia"/>
          <w:iCs/>
        </w:rPr>
        <w:t xml:space="preserve"> 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Ideální skladové jádro je třeba </w:t>
      </w:r>
      <w:r>
        <w:rPr>
          <w:b/>
          <w:iCs/>
        </w:rPr>
        <w:t>doplnit o manipulační uličky</w:t>
      </w:r>
      <w:r>
        <w:rPr>
          <w:iCs/>
        </w:rPr>
        <w:t>. Jejich počet je dán podílem:</w:t>
      </w:r>
    </w:p>
    <w:p w:rsidR="006C29EA" w:rsidRDefault="006C29EA" w:rsidP="005235D8">
      <w:pPr>
        <w:rPr>
          <w:iCs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U=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>
        <w:rPr>
          <w:iCs/>
        </w:rPr>
        <w:t xml:space="preserve"> 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</w:t>
      </w:r>
    </w:p>
    <w:p w:rsidR="006C29EA" w:rsidRDefault="006C29EA" w:rsidP="005235D8">
      <w:pPr>
        <w:rPr>
          <w:iCs/>
        </w:rPr>
      </w:pPr>
      <w:r>
        <w:rPr>
          <w:iCs/>
        </w:rPr>
        <w:t xml:space="preserve">Layout skladového jádra je třeba </w:t>
      </w:r>
      <w:r>
        <w:rPr>
          <w:b/>
          <w:iCs/>
        </w:rPr>
        <w:t>doplnit o plochu příjmu a plochu expedice</w:t>
      </w:r>
      <w:r>
        <w:rPr>
          <w:iCs/>
        </w:rPr>
        <w:t>.</w:t>
      </w:r>
    </w:p>
    <w:p w:rsidR="006C29EA" w:rsidRPr="009A4CA4" w:rsidRDefault="009A4CA4" w:rsidP="0044088D">
      <w:pPr>
        <w:jc w:val="both"/>
        <w:rPr>
          <w:iCs/>
          <w:sz w:val="20"/>
          <w:szCs w:val="20"/>
        </w:rPr>
      </w:pPr>
      <w:r w:rsidRPr="009A4CA4">
        <w:rPr>
          <w:iCs/>
          <w:sz w:val="20"/>
          <w:szCs w:val="20"/>
        </w:rPr>
        <w:t>Poznámka: s</w:t>
      </w:r>
      <w:r w:rsidR="006C29EA" w:rsidRPr="009A4CA4">
        <w:rPr>
          <w:iCs/>
          <w:sz w:val="20"/>
          <w:szCs w:val="20"/>
        </w:rPr>
        <w:t xml:space="preserve">klady lze projektovat </w:t>
      </w:r>
      <w:r w:rsidR="006C29EA" w:rsidRPr="009A4CA4">
        <w:rPr>
          <w:b/>
          <w:iCs/>
          <w:sz w:val="20"/>
          <w:szCs w:val="20"/>
        </w:rPr>
        <w:t>metodou</w:t>
      </w:r>
      <w:r w:rsidR="006C29EA" w:rsidRPr="009A4CA4">
        <w:rPr>
          <w:iCs/>
          <w:sz w:val="20"/>
          <w:szCs w:val="20"/>
        </w:rPr>
        <w:t xml:space="preserve"> </w:t>
      </w:r>
      <w:r w:rsidR="006C29EA" w:rsidRPr="009A4CA4">
        <w:rPr>
          <w:b/>
          <w:iCs/>
          <w:sz w:val="20"/>
          <w:szCs w:val="20"/>
        </w:rPr>
        <w:t>skladebných modulů</w:t>
      </w:r>
      <w:r w:rsidR="006C29EA" w:rsidRPr="009A4CA4">
        <w:rPr>
          <w:iCs/>
          <w:sz w:val="20"/>
          <w:szCs w:val="20"/>
        </w:rPr>
        <w:t>: ty jsou pojaty jako jednotky technologického dispozičního uspořádání skladového zařízení a je obsluhujících strojů do vybraných stavebních konstrukcí; prostor skladebných modulů je vymezen roztečemi svislých stavebních konstrukcí a světlou výškou modulů přiřazených hal. Tím je umožněno řešení ve variantách s regály různých konstrukcí a výšek a s různými obsluhujícími stroji (skladovými vozíky, regálovými zakladači). Moduly jsou postupně skládány do většího celku až do naplnění požadované kapacity skladu a poté je z nich vybrána nejvhodnější varianta s ohledem na investiční náklady na 1 m</w:t>
      </w:r>
      <w:r w:rsidR="006C29EA" w:rsidRPr="009A4CA4">
        <w:rPr>
          <w:iCs/>
          <w:sz w:val="20"/>
          <w:szCs w:val="20"/>
          <w:vertAlign w:val="superscript"/>
        </w:rPr>
        <w:t>3</w:t>
      </w:r>
      <w:r w:rsidR="006C29EA" w:rsidRPr="009A4CA4">
        <w:rPr>
          <w:iCs/>
          <w:sz w:val="20"/>
          <w:szCs w:val="20"/>
        </w:rPr>
        <w:t xml:space="preserve"> materiálu.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Navazujícím krokem je </w:t>
      </w:r>
      <w:r>
        <w:rPr>
          <w:b/>
          <w:iCs/>
        </w:rPr>
        <w:t>volba vhodné soustavy vychystávání a kompletace</w:t>
      </w:r>
      <w:r>
        <w:rPr>
          <w:iCs/>
        </w:rPr>
        <w:t>, jež</w:t>
      </w:r>
      <w:r>
        <w:rPr>
          <w:b/>
          <w:iCs/>
        </w:rPr>
        <w:t xml:space="preserve"> </w:t>
      </w:r>
      <w:r>
        <w:rPr>
          <w:iCs/>
        </w:rPr>
        <w:t xml:space="preserve">se týká pouze skladů </w:t>
      </w:r>
      <w:r>
        <w:rPr>
          <w:b/>
          <w:iCs/>
        </w:rPr>
        <w:t>knihoven</w:t>
      </w:r>
      <w:r>
        <w:rPr>
          <w:iCs/>
        </w:rPr>
        <w:t>. Řídí se: charakterem materiálových položek, tj. počtem položek, fyzickými vlastnostmi materiálu, velikostí obratu a velikostí a četností výdejů (event. příjmů), a dále počtem výstupních (event. vstupních) míst materiálu ze skladu (do skladu).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Od soustavy je požadováno splnění zadané funkce při minimálních nákladech na kompletaci jednotky množství, minimální plošné náročnosti a maximální rychlosti a pohotovosti procesu.</w:t>
      </w:r>
    </w:p>
    <w:p w:rsidR="006C29EA" w:rsidRDefault="006C29EA" w:rsidP="0044088D">
      <w:pPr>
        <w:spacing w:after="0"/>
        <w:jc w:val="both"/>
        <w:rPr>
          <w:iCs/>
        </w:rPr>
      </w:pP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Ve vztahu ke způsobům vychystávání a kompletace se řeší toky materiálu ve skladovém objektu buď jako </w:t>
      </w:r>
      <w:r>
        <w:rPr>
          <w:b/>
          <w:iCs/>
        </w:rPr>
        <w:t>pohyb člověka za materiálem</w:t>
      </w:r>
      <w:r>
        <w:rPr>
          <w:iCs/>
        </w:rPr>
        <w:t>, anebo jako</w:t>
      </w:r>
      <w:r>
        <w:rPr>
          <w:b/>
          <w:iCs/>
        </w:rPr>
        <w:t xml:space="preserve"> pohyb materiálu za člověkem</w:t>
      </w:r>
      <w:r>
        <w:rPr>
          <w:iCs/>
        </w:rPr>
        <w:t xml:space="preserve">. Tyto alternativy mají zásadní význam </w:t>
      </w:r>
      <w:r>
        <w:rPr>
          <w:b/>
          <w:iCs/>
        </w:rPr>
        <w:t>u knihoven</w:t>
      </w:r>
      <w:r>
        <w:rPr>
          <w:iCs/>
        </w:rPr>
        <w:t xml:space="preserve">, a to jako řešení obsluhovaných skladů, do nichž čtenáři nemají přístup a skladové manipulace provádějí pracovníci knihovny, přičemž se může jednat o individuální vychystávání, při němž pracovník obchází regály ve skladovém jádru a vyskladňuje jednotlivé položky vyžádané čtenáři, anebo o hromadné vychystávání z automatizovaného skladu, kdy k pracovníkovi na jeho pracoviště přicházejí celé skladovací prostředky (ukládací bedny), z nichž vybírá požadované položky. U menších knihoven nebo specializovaných oddělení se </w:t>
      </w:r>
      <w:r w:rsidR="00376999">
        <w:rPr>
          <w:iCs/>
        </w:rPr>
        <w:t xml:space="preserve">jako dominantní </w:t>
      </w:r>
      <w:r>
        <w:rPr>
          <w:iCs/>
        </w:rPr>
        <w:t xml:space="preserve">uplatňuje forma pohybu člověka za materiálem, </w:t>
      </w:r>
      <w:r>
        <w:rPr>
          <w:iCs/>
        </w:rPr>
        <w:lastRenderedPageBreak/>
        <w:t>v tomto případě čtenářů za knihami, které jsou jim volně přístupné v samoobslužných skladech.</w:t>
      </w:r>
    </w:p>
    <w:p w:rsidR="00376999" w:rsidRDefault="00376999" w:rsidP="005235D8">
      <w:pPr>
        <w:spacing w:after="0"/>
        <w:rPr>
          <w:iCs/>
        </w:rPr>
      </w:pPr>
    </w:p>
    <w:p w:rsidR="00A71CB4" w:rsidRDefault="00A71CB4" w:rsidP="005235D8">
      <w:pPr>
        <w:spacing w:after="0"/>
        <w:rPr>
          <w:iCs/>
        </w:rPr>
      </w:pPr>
    </w:p>
    <w:p w:rsidR="00A71CB4" w:rsidRDefault="00A71CB4" w:rsidP="005235D8">
      <w:pPr>
        <w:spacing w:after="0"/>
        <w:rPr>
          <w:iCs/>
        </w:rPr>
      </w:pPr>
    </w:p>
    <w:p w:rsidR="00A71CB4" w:rsidRDefault="00A71CB4" w:rsidP="005235D8">
      <w:pPr>
        <w:spacing w:after="0"/>
        <w:rPr>
          <w:iCs/>
        </w:rPr>
      </w:pPr>
      <w:r>
        <w:rPr>
          <w:iCs/>
          <w:noProof/>
          <w:lang w:eastAsia="cs-CZ"/>
        </w:rPr>
        <w:drawing>
          <wp:inline distT="0" distB="0" distL="0" distR="0">
            <wp:extent cx="3441600" cy="2581200"/>
            <wp:effectExtent l="0" t="0" r="698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ladovací box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6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B4" w:rsidRDefault="00A71CB4" w:rsidP="005235D8">
      <w:pPr>
        <w:spacing w:after="0"/>
        <w:rPr>
          <w:iCs/>
        </w:rPr>
      </w:pPr>
    </w:p>
    <w:p w:rsidR="00376999" w:rsidRDefault="00A71CB4" w:rsidP="005235D8">
      <w:pPr>
        <w:spacing w:after="0"/>
        <w:rPr>
          <w:iCs/>
        </w:rPr>
      </w:pPr>
      <w:r>
        <w:rPr>
          <w:iCs/>
        </w:rPr>
        <w:t xml:space="preserve">Obr. 7 Ukládací bedna </w:t>
      </w:r>
      <w:r w:rsidR="00376999">
        <w:rPr>
          <w:iCs/>
        </w:rPr>
        <w:t xml:space="preserve">s knihami </w:t>
      </w:r>
      <w:r>
        <w:rPr>
          <w:iCs/>
        </w:rPr>
        <w:t xml:space="preserve">v automatizovaném </w:t>
      </w:r>
    </w:p>
    <w:p w:rsidR="00A71CB4" w:rsidRDefault="00376999" w:rsidP="005235D8">
      <w:pPr>
        <w:spacing w:after="0"/>
        <w:rPr>
          <w:iCs/>
        </w:rPr>
      </w:pPr>
      <w:r>
        <w:rPr>
          <w:iCs/>
        </w:rPr>
        <w:t xml:space="preserve">skladu větší </w:t>
      </w:r>
      <w:r w:rsidR="00A71CB4">
        <w:rPr>
          <w:iCs/>
        </w:rPr>
        <w:t>knihovny.</w:t>
      </w:r>
    </w:p>
    <w:p w:rsidR="00F74C51" w:rsidRDefault="00F74C51" w:rsidP="005235D8">
      <w:pPr>
        <w:spacing w:after="0"/>
        <w:rPr>
          <w:iCs/>
        </w:rPr>
      </w:pPr>
    </w:p>
    <w:p w:rsidR="00F74C51" w:rsidRDefault="00F74C51" w:rsidP="005235D8">
      <w:pPr>
        <w:spacing w:after="0"/>
        <w:rPr>
          <w:iCs/>
        </w:rPr>
      </w:pPr>
    </w:p>
    <w:p w:rsidR="00A71CB4" w:rsidRDefault="00A71CB4" w:rsidP="005235D8">
      <w:pPr>
        <w:spacing w:after="0"/>
        <w:rPr>
          <w:iCs/>
        </w:rPr>
      </w:pPr>
    </w:p>
    <w:p w:rsidR="00A71CB4" w:rsidRDefault="00A71CB4" w:rsidP="005235D8">
      <w:pPr>
        <w:spacing w:after="0"/>
        <w:rPr>
          <w:iCs/>
        </w:rPr>
      </w:pPr>
      <w:r>
        <w:rPr>
          <w:iCs/>
          <w:noProof/>
          <w:lang w:eastAsia="cs-CZ"/>
        </w:rPr>
        <w:drawing>
          <wp:inline distT="0" distB="0" distL="0" distR="0">
            <wp:extent cx="3423600" cy="2282400"/>
            <wp:effectExtent l="0" t="0" r="5715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00" cy="22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B4" w:rsidRDefault="00A71CB4" w:rsidP="005235D8">
      <w:pPr>
        <w:spacing w:after="0"/>
        <w:rPr>
          <w:iCs/>
        </w:rPr>
      </w:pPr>
    </w:p>
    <w:p w:rsidR="00A71CB4" w:rsidRDefault="00A71CB4" w:rsidP="005235D8">
      <w:pPr>
        <w:spacing w:after="0"/>
        <w:rPr>
          <w:iCs/>
        </w:rPr>
      </w:pPr>
      <w:r>
        <w:rPr>
          <w:iCs/>
        </w:rPr>
        <w:t xml:space="preserve">Obr. 8 Přeprava knih vyjmutých z ukládací bedny </w:t>
      </w:r>
      <w:r w:rsidR="00376999">
        <w:rPr>
          <w:iCs/>
        </w:rPr>
        <w:t>za čtenáři</w:t>
      </w:r>
    </w:p>
    <w:p w:rsidR="00376999" w:rsidRDefault="00376999" w:rsidP="005235D8">
      <w:pPr>
        <w:spacing w:after="0"/>
        <w:rPr>
          <w:iCs/>
        </w:rPr>
      </w:pPr>
    </w:p>
    <w:p w:rsidR="006C29EA" w:rsidRDefault="006C29EA" w:rsidP="005235D8">
      <w:pPr>
        <w:spacing w:after="0"/>
        <w:rPr>
          <w:iCs/>
        </w:rPr>
      </w:pP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Uplatňují se přitom tyto </w:t>
      </w:r>
      <w:r>
        <w:rPr>
          <w:b/>
          <w:iCs/>
        </w:rPr>
        <w:t>zásady manipulace s materiálem</w:t>
      </w:r>
      <w:r>
        <w:rPr>
          <w:iCs/>
        </w:rPr>
        <w:t xml:space="preserve"> (které mají univerzální platnost):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>vyhnout se křížení cest,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>materiál přemísťovat optimální rychlostí a plynulým pohybem,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 xml:space="preserve">přemísťování materiálu řešit pokud možno ve stále stejné výškové úrovni, 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>vyvarovat se neúčelných manipulačních úkonů,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>minimalizovat ruční manipulaci,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>toky materiálu řešit tak, aby se co nejvíce šetřila plocha,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lastRenderedPageBreak/>
        <w:t xml:space="preserve">používat vhodné manipulační, skladovací a přepravní jednotky, které usnadňují další manipulaci (palety, </w:t>
      </w:r>
      <w:proofErr w:type="spellStart"/>
      <w:r>
        <w:rPr>
          <w:iCs/>
        </w:rPr>
        <w:t>roltejnery</w:t>
      </w:r>
      <w:proofErr w:type="spellEnd"/>
      <w:r>
        <w:rPr>
          <w:iCs/>
        </w:rPr>
        <w:t>, ukládací bedny, přepravky apod.),</w:t>
      </w:r>
    </w:p>
    <w:p w:rsidR="006C29EA" w:rsidRDefault="006C29EA" w:rsidP="0044088D">
      <w:pPr>
        <w:numPr>
          <w:ilvl w:val="0"/>
          <w:numId w:val="3"/>
        </w:numPr>
        <w:spacing w:after="0"/>
        <w:jc w:val="both"/>
        <w:rPr>
          <w:iCs/>
        </w:rPr>
      </w:pPr>
      <w:r>
        <w:rPr>
          <w:iCs/>
        </w:rPr>
        <w:t>kontrolní operace provádět během přemísťování.</w:t>
      </w:r>
    </w:p>
    <w:p w:rsidR="006C29EA" w:rsidRDefault="006C29EA" w:rsidP="0044088D">
      <w:pPr>
        <w:spacing w:after="0"/>
        <w:jc w:val="both"/>
        <w:rPr>
          <w:iCs/>
        </w:rPr>
      </w:pPr>
    </w:p>
    <w:p w:rsidR="006C29EA" w:rsidRDefault="006C29EA" w:rsidP="0044088D">
      <w:pPr>
        <w:jc w:val="both"/>
        <w:rPr>
          <w:iCs/>
        </w:rPr>
      </w:pPr>
      <w:r>
        <w:rPr>
          <w:b/>
          <w:iCs/>
        </w:rPr>
        <w:t>Ekonomické hodnocení</w:t>
      </w:r>
      <w:r>
        <w:rPr>
          <w:iCs/>
        </w:rPr>
        <w:t xml:space="preserve"> navržených variant skladu počítá s celkovými ročními náklady, jejichž složkami jsou: (1) náklady na stavební část skladů včetně pozemku (popřípadě nákladů na nájem objektu), (2) náklady na pořízení a provoz strojů (například vysokozdvižných vozíků) obsluhujících skladové zařízení (paletové regály) a provádějících </w:t>
      </w:r>
      <w:proofErr w:type="spellStart"/>
      <w:r>
        <w:rPr>
          <w:iCs/>
        </w:rPr>
        <w:t>vnitroskladovou</w:t>
      </w:r>
      <w:proofErr w:type="spellEnd"/>
      <w:r>
        <w:rPr>
          <w:iCs/>
        </w:rPr>
        <w:t xml:space="preserve"> dopravu, (3) náklady na mzdy řidičů strojů (řidičů vysokozdvižných vozíků) a skladových dělníků, (4) náklady na pořízení a provoz skladového zařízení.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Vzorec pro výpočet celkových ročních nákladů (na příkladu menšího skladu </w:t>
      </w:r>
      <w:proofErr w:type="spellStart"/>
      <w:r>
        <w:rPr>
          <w:iCs/>
        </w:rPr>
        <w:t>paletizovaného</w:t>
      </w:r>
      <w:proofErr w:type="spellEnd"/>
      <w:r>
        <w:rPr>
          <w:iCs/>
        </w:rPr>
        <w:t xml:space="preserve"> materiálu, vybaveného jedním vysokozdvižným vozíkem</w:t>
      </w:r>
      <w:r w:rsidR="00134F4A">
        <w:rPr>
          <w:rStyle w:val="Znakapoznpodarou"/>
          <w:iCs/>
        </w:rPr>
        <w:footnoteReference w:id="1"/>
      </w:r>
      <w:r>
        <w:rPr>
          <w:iCs/>
        </w:rPr>
        <w:t>) může být:</w:t>
      </w:r>
    </w:p>
    <w:p w:rsidR="006C29EA" w:rsidRDefault="006C29EA" w:rsidP="005235D8">
      <w:pPr>
        <w:rPr>
          <w:iCs/>
        </w:rPr>
      </w:pPr>
      <w:proofErr w:type="gramStart"/>
      <w:r>
        <w:rPr>
          <w:iCs/>
        </w:rPr>
        <w:t>K =  (B . L . N) + (</w:t>
      </w:r>
      <w:proofErr w:type="spellStart"/>
      <w:r>
        <w:rPr>
          <w:iCs/>
        </w:rPr>
        <w:t>k</w:t>
      </w:r>
      <w:r>
        <w:rPr>
          <w:iCs/>
          <w:vertAlign w:val="subscript"/>
        </w:rPr>
        <w:t>vf</w:t>
      </w:r>
      <w:proofErr w:type="spellEnd"/>
      <w:proofErr w:type="gramEnd"/>
      <w:r>
        <w:rPr>
          <w:iCs/>
          <w:vertAlign w:val="subscript"/>
        </w:rPr>
        <w:t xml:space="preserve"> </w:t>
      </w:r>
      <w:r>
        <w:rPr>
          <w:iCs/>
        </w:rPr>
        <w:t>. I</w:t>
      </w:r>
      <w:r>
        <w:rPr>
          <w:iCs/>
          <w:vertAlign w:val="subscript"/>
        </w:rPr>
        <w:t>v</w:t>
      </w:r>
      <w:r>
        <w:rPr>
          <w:iCs/>
        </w:rPr>
        <w:t>) + (I</w:t>
      </w:r>
      <w:r>
        <w:rPr>
          <w:iCs/>
          <w:vertAlign w:val="subscript"/>
        </w:rPr>
        <w:t>v</w:t>
      </w:r>
      <w:r>
        <w:rPr>
          <w:iCs/>
        </w:rPr>
        <w:t xml:space="preserve"> . </w:t>
      </w:r>
      <w:proofErr w:type="spellStart"/>
      <w:r>
        <w:rPr>
          <w:iCs/>
        </w:rPr>
        <w:t>K</w:t>
      </w:r>
      <w:r>
        <w:rPr>
          <w:iCs/>
          <w:vertAlign w:val="subscript"/>
        </w:rPr>
        <w:t>rp</w:t>
      </w:r>
      <w:proofErr w:type="spellEnd"/>
      <w:r>
        <w:rPr>
          <w:iCs/>
        </w:rPr>
        <w:t>) + (</w:t>
      </w:r>
      <w:proofErr w:type="spellStart"/>
      <w:r>
        <w:rPr>
          <w:iCs/>
        </w:rPr>
        <w:t>Q</w:t>
      </w:r>
      <w:r>
        <w:rPr>
          <w:iCs/>
          <w:vertAlign w:val="subscript"/>
        </w:rPr>
        <w:t>s</w:t>
      </w:r>
      <w:proofErr w:type="spellEnd"/>
      <w:r>
        <w:rPr>
          <w:iCs/>
        </w:rPr>
        <w:t xml:space="preserve"> . </w:t>
      </w:r>
      <w:proofErr w:type="spellStart"/>
      <w:r>
        <w:rPr>
          <w:iCs/>
        </w:rPr>
        <w:t>T</w:t>
      </w:r>
      <w:r>
        <w:rPr>
          <w:iCs/>
          <w:vertAlign w:val="subscript"/>
        </w:rPr>
        <w:t>vc</w:t>
      </w:r>
      <w:proofErr w:type="spellEnd"/>
      <w:r>
        <w:rPr>
          <w:iCs/>
        </w:rPr>
        <w:t xml:space="preserve"> . M) + (</w:t>
      </w:r>
      <w:proofErr w:type="spellStart"/>
      <w:r>
        <w:rPr>
          <w:iCs/>
        </w:rPr>
        <w:t>k</w:t>
      </w:r>
      <w:r>
        <w:rPr>
          <w:iCs/>
          <w:vertAlign w:val="subscript"/>
        </w:rPr>
        <w:t>pf</w:t>
      </w:r>
      <w:proofErr w:type="spellEnd"/>
      <w:r>
        <w:rPr>
          <w:iCs/>
        </w:rPr>
        <w:t xml:space="preserve"> . P . </w:t>
      </w:r>
      <w:proofErr w:type="spellStart"/>
      <w:r>
        <w:rPr>
          <w:iCs/>
        </w:rPr>
        <w:t>I</w:t>
      </w:r>
      <w:r>
        <w:rPr>
          <w:iCs/>
          <w:vertAlign w:val="subscript"/>
        </w:rPr>
        <w:t>p</w:t>
      </w:r>
      <w:proofErr w:type="spellEnd"/>
      <w:r>
        <w:rPr>
          <w:iCs/>
        </w:rPr>
        <w:t>),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kde:</w:t>
      </w:r>
      <w:r>
        <w:rPr>
          <w:iCs/>
        </w:rPr>
        <w:tab/>
        <w:t>K - celkové roční náklady, B, L - celková šířka a délka skladu, N - náklady na stavební část / nájemné na m</w:t>
      </w:r>
      <w:r>
        <w:rPr>
          <w:iCs/>
          <w:vertAlign w:val="superscript"/>
        </w:rPr>
        <w:t>2</w:t>
      </w:r>
      <w:r>
        <w:rPr>
          <w:iCs/>
        </w:rPr>
        <w:t xml:space="preserve"> za rok, </w:t>
      </w:r>
      <w:proofErr w:type="spellStart"/>
      <w:r>
        <w:rPr>
          <w:iCs/>
        </w:rPr>
        <w:t>k</w:t>
      </w:r>
      <w:r>
        <w:rPr>
          <w:iCs/>
          <w:vertAlign w:val="subscript"/>
        </w:rPr>
        <w:t>vf</w:t>
      </w:r>
      <w:proofErr w:type="spellEnd"/>
      <w:r>
        <w:rPr>
          <w:iCs/>
        </w:rPr>
        <w:t xml:space="preserve"> - koeficient pro výpočet ročních fixních nákladů vozíku, I</w:t>
      </w:r>
      <w:r>
        <w:rPr>
          <w:iCs/>
          <w:vertAlign w:val="subscript"/>
        </w:rPr>
        <w:t>v</w:t>
      </w:r>
      <w:r>
        <w:rPr>
          <w:iCs/>
        </w:rPr>
        <w:t xml:space="preserve"> - investice na pořízení vozíku, </w:t>
      </w:r>
      <w:proofErr w:type="spellStart"/>
      <w:r>
        <w:rPr>
          <w:iCs/>
        </w:rPr>
        <w:t>k</w:t>
      </w:r>
      <w:r>
        <w:rPr>
          <w:iCs/>
          <w:vertAlign w:val="subscript"/>
        </w:rPr>
        <w:t>rp</w:t>
      </w:r>
      <w:proofErr w:type="spellEnd"/>
      <w:r>
        <w:rPr>
          <w:iCs/>
        </w:rPr>
        <w:t xml:space="preserve"> - provozní a režijní koeficient vozíku, </w:t>
      </w:r>
      <w:proofErr w:type="spellStart"/>
      <w:r>
        <w:rPr>
          <w:iCs/>
        </w:rPr>
        <w:t>Q</w:t>
      </w:r>
      <w:r>
        <w:rPr>
          <w:iCs/>
          <w:vertAlign w:val="subscript"/>
        </w:rPr>
        <w:t>s</w:t>
      </w:r>
      <w:proofErr w:type="spellEnd"/>
      <w:r>
        <w:rPr>
          <w:iCs/>
        </w:rPr>
        <w:t xml:space="preserve"> - průtok materiálu skladem (v paletových jednotkách za rok), </w:t>
      </w:r>
      <w:proofErr w:type="spellStart"/>
      <w:r>
        <w:rPr>
          <w:iCs/>
        </w:rPr>
        <w:t>T</w:t>
      </w:r>
      <w:r>
        <w:rPr>
          <w:iCs/>
          <w:vertAlign w:val="subscript"/>
        </w:rPr>
        <w:t>vc</w:t>
      </w:r>
      <w:proofErr w:type="spellEnd"/>
      <w:r>
        <w:rPr>
          <w:iCs/>
        </w:rPr>
        <w:t xml:space="preserve"> - doba pracovního cyklu vozíku (v sekundách),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M - náklady na mzdy řidiče vozíku (za sekundu), </w:t>
      </w:r>
      <w:proofErr w:type="spellStart"/>
      <w:r>
        <w:rPr>
          <w:iCs/>
        </w:rPr>
        <w:t>k</w:t>
      </w:r>
      <w:r>
        <w:rPr>
          <w:iCs/>
          <w:vertAlign w:val="subscript"/>
        </w:rPr>
        <w:t>pf</w:t>
      </w:r>
      <w:proofErr w:type="spellEnd"/>
      <w:r>
        <w:rPr>
          <w:iCs/>
        </w:rPr>
        <w:t xml:space="preserve"> - koeficient pro výpočet ročních fixních nákladů na paletizaci, P - počet paletových míst ve skladu (kapacita skladu v paletových jednotkách), </w:t>
      </w:r>
      <w:proofErr w:type="spellStart"/>
      <w:r>
        <w:rPr>
          <w:iCs/>
        </w:rPr>
        <w:t>I</w:t>
      </w:r>
      <w:r>
        <w:rPr>
          <w:iCs/>
          <w:vertAlign w:val="subscript"/>
        </w:rPr>
        <w:t>p</w:t>
      </w:r>
      <w:proofErr w:type="spellEnd"/>
      <w:r>
        <w:rPr>
          <w:iCs/>
        </w:rPr>
        <w:t xml:space="preserve"> - investiční náklady na jedno paletové místo.</w:t>
      </w:r>
    </w:p>
    <w:p w:rsidR="006C29EA" w:rsidRDefault="006C29EA" w:rsidP="0044088D">
      <w:pPr>
        <w:spacing w:after="0"/>
        <w:jc w:val="both"/>
        <w:rPr>
          <w:iCs/>
        </w:rPr>
      </w:pPr>
    </w:p>
    <w:p w:rsidR="00C42187" w:rsidRDefault="006C29EA" w:rsidP="0044088D">
      <w:pPr>
        <w:jc w:val="both"/>
        <w:rPr>
          <w:iCs/>
        </w:rPr>
      </w:pPr>
      <w:r>
        <w:rPr>
          <w:iCs/>
        </w:rPr>
        <w:t>P</w:t>
      </w:r>
      <w:r>
        <w:rPr>
          <w:bCs/>
          <w:iCs/>
        </w:rPr>
        <w:t>orovnání vypočtených celkových nákladů se zadáním bývá, avšak nemusí být posledním krokem</w:t>
      </w:r>
      <w:r>
        <w:rPr>
          <w:iCs/>
        </w:rPr>
        <w:t xml:space="preserve">: </w:t>
      </w:r>
      <w:r w:rsidRPr="002830D3">
        <w:rPr>
          <w:iCs/>
        </w:rPr>
        <w:t>v případě příliš vysokých nákladů se postup vrací k volbě skladové technologie a její změnou se snaží celé řešení zlepšit.</w:t>
      </w:r>
      <w:r>
        <w:rPr>
          <w:iCs/>
        </w:rPr>
        <w:t xml:space="preserve"> </w:t>
      </w:r>
    </w:p>
    <w:p w:rsidR="006C29EA" w:rsidRDefault="006C29EA" w:rsidP="0044088D">
      <w:pPr>
        <w:spacing w:after="0"/>
        <w:jc w:val="both"/>
        <w:rPr>
          <w:b/>
          <w:iCs/>
        </w:rPr>
      </w:pPr>
      <w:r>
        <w:rPr>
          <w:b/>
          <w:iCs/>
        </w:rPr>
        <w:t>Příklad: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příprava výstavby nového depozitáře při limitovaných investičních nákladech, například pro sbírkové fondy </w:t>
      </w:r>
      <w:r w:rsidRPr="009A4CA4">
        <w:rPr>
          <w:b/>
          <w:iCs/>
        </w:rPr>
        <w:t>technického muzea</w:t>
      </w:r>
      <w:r>
        <w:rPr>
          <w:iCs/>
        </w:rPr>
        <w:t xml:space="preserve">, kde jednotlivé sbírkové předměty či jejich soubory mohou být uloženy na paletách ve stacionárních řadových regálech. 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 xml:space="preserve">Předlohou k úvahám je plně </w:t>
      </w:r>
      <w:proofErr w:type="spellStart"/>
      <w:r>
        <w:rPr>
          <w:iCs/>
        </w:rPr>
        <w:t>paletizovaný</w:t>
      </w:r>
      <w:proofErr w:type="spellEnd"/>
      <w:r>
        <w:rPr>
          <w:iCs/>
        </w:rPr>
        <w:t xml:space="preserve"> sklad s kapacitou (počtem paletových míst) 5000 paletových jednotek o maximální hmotnosti 1000 kg, vybavený vysokozdvižným vozíkem podepřené konstrukce se stojícím řidičem – jediný takovýto poměrně pomalý vozík (s dobou na nabrání/uložení paletové jednotky 65 sekund) zvládne ve skladu až 180 pracovních cyklů (při příjmu a expedici) za den, což vyhovuje 90 přijímaným a 90 expedovaným paletovým jednotkám za den; v depozitáři by to odpovídalo situaci trojí manipulace s každou paletovou jednotkou během roku).</w:t>
      </w:r>
      <w:r>
        <w:rPr>
          <w:rStyle w:val="Znakapoznpodarou"/>
          <w:iCs/>
        </w:rPr>
        <w:footnoteReference w:id="2"/>
      </w:r>
      <w:r>
        <w:rPr>
          <w:iCs/>
        </w:rPr>
        <w:t xml:space="preserve"> Postup navrhování lze názorně demonstrovat nejlépe na příkladu plně </w:t>
      </w:r>
      <w:proofErr w:type="spellStart"/>
      <w:r>
        <w:rPr>
          <w:iCs/>
        </w:rPr>
        <w:t>paletizovaného</w:t>
      </w:r>
      <w:proofErr w:type="spellEnd"/>
      <w:r>
        <w:rPr>
          <w:iCs/>
        </w:rPr>
        <w:t xml:space="preserve"> skladu či depozitáře. Sestává z kroků: 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(1) zadání kapacity, 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(2) volby vhodného typu vysokozdvižných vozíků, určení skladovací výšky, </w:t>
      </w:r>
    </w:p>
    <w:p w:rsidR="006C29EA" w:rsidRDefault="002830D3" w:rsidP="0044088D">
      <w:pPr>
        <w:spacing w:after="0"/>
        <w:jc w:val="both"/>
        <w:rPr>
          <w:iCs/>
        </w:rPr>
      </w:pPr>
      <w:r>
        <w:rPr>
          <w:iCs/>
        </w:rPr>
        <w:t>(3) výpočtu plochy skladu (</w:t>
      </w:r>
      <w:r w:rsidR="006C29EA">
        <w:rPr>
          <w:iCs/>
        </w:rPr>
        <w:t>depozitáře</w:t>
      </w:r>
      <w:r>
        <w:rPr>
          <w:iCs/>
        </w:rPr>
        <w:t>)</w:t>
      </w:r>
      <w:r w:rsidR="006C29EA">
        <w:rPr>
          <w:iCs/>
        </w:rPr>
        <w:t xml:space="preserve">, stanovení šířky a počtu manipulačních uliček a zpracování layoutu, 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(4) výpočtu počtu vozíků, výpočtu provozních nákladů, </w:t>
      </w:r>
    </w:p>
    <w:p w:rsidR="006C29EA" w:rsidRDefault="006C29EA" w:rsidP="005235D8">
      <w:pPr>
        <w:spacing w:after="0"/>
        <w:rPr>
          <w:iCs/>
        </w:rPr>
      </w:pPr>
      <w:r>
        <w:rPr>
          <w:iCs/>
        </w:rPr>
        <w:lastRenderedPageBreak/>
        <w:t xml:space="preserve">(5) výpočtu celkových nákladů (podle výše uvedeného vzorce), 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(6) porovnání se zadáním – v případě nevyhovujícího výsledku návrat ke kroku (2) a opakování postupu v jiné variantě.</w:t>
      </w:r>
    </w:p>
    <w:p w:rsidR="006C29EA" w:rsidRDefault="006C29EA" w:rsidP="0044088D">
      <w:pPr>
        <w:spacing w:after="0"/>
        <w:jc w:val="both"/>
        <w:rPr>
          <w:iCs/>
        </w:rPr>
      </w:pPr>
    </w:p>
    <w:p w:rsidR="006C29EA" w:rsidRDefault="006C29EA" w:rsidP="0044088D">
      <w:pPr>
        <w:jc w:val="both"/>
        <w:rPr>
          <w:iCs/>
        </w:rPr>
      </w:pPr>
      <w:r>
        <w:rPr>
          <w:iCs/>
        </w:rPr>
        <w:t>V daném příkladu jsou zvažovány dvě varianty: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varianta I: regály se čtyřmi paletovými buňkami ve sloupci (n = 4), vysokozdvižný vozík s výškou zdvihu 3,5 metru,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>varianta II: regály se šesti paletovými buňkami ve sloupci (n = 6), vysokozdvižný vozík s výškou zdvihu 5,7 metru.</w:t>
      </w:r>
    </w:p>
    <w:p w:rsidR="006C29EA" w:rsidRDefault="006C29EA" w:rsidP="0044088D">
      <w:pPr>
        <w:jc w:val="both"/>
        <w:rPr>
          <w:iCs/>
        </w:rPr>
      </w:pPr>
      <w:r>
        <w:rPr>
          <w:iCs/>
        </w:rPr>
        <w:t>Výpočet skladu (skladového jádra) s užitím výše uvedených vzorců: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varianta I: 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P = 5000 </w:t>
      </w:r>
    </w:p>
    <w:p w:rsidR="006C29EA" w:rsidRDefault="006C29EA" w:rsidP="0044088D">
      <w:pPr>
        <w:spacing w:after="0"/>
        <w:jc w:val="both"/>
        <w:rPr>
          <w:iCs/>
        </w:rPr>
      </w:pPr>
      <w:proofErr w:type="spellStart"/>
      <w:r>
        <w:rPr>
          <w:iCs/>
        </w:rPr>
        <w:t>m</w:t>
      </w:r>
      <w:r>
        <w:rPr>
          <w:iCs/>
          <w:vertAlign w:val="subscript"/>
        </w:rPr>
        <w:t>L</w:t>
      </w:r>
      <w:proofErr w:type="spellEnd"/>
      <w:r>
        <w:rPr>
          <w:iCs/>
        </w:rPr>
        <w:t xml:space="preserve"> = 1,0 metru </w:t>
      </w:r>
    </w:p>
    <w:p w:rsidR="006C29EA" w:rsidRDefault="006C29EA" w:rsidP="0044088D">
      <w:pPr>
        <w:spacing w:after="0"/>
        <w:jc w:val="both"/>
        <w:rPr>
          <w:iCs/>
        </w:rPr>
      </w:pPr>
      <w:proofErr w:type="spellStart"/>
      <w:r>
        <w:rPr>
          <w:iCs/>
        </w:rPr>
        <w:t>m</w:t>
      </w:r>
      <w:r>
        <w:rPr>
          <w:iCs/>
          <w:vertAlign w:val="subscript"/>
        </w:rPr>
        <w:t>B</w:t>
      </w:r>
      <w:proofErr w:type="spellEnd"/>
      <w:r>
        <w:rPr>
          <w:iCs/>
        </w:rPr>
        <w:t xml:space="preserve"> = 4,5 metru 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n = 4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B</w:t>
      </w:r>
      <w:r>
        <w:rPr>
          <w:iCs/>
          <w:vertAlign w:val="subscript"/>
        </w:rPr>
        <w:t xml:space="preserve">I </w:t>
      </w:r>
      <w:r>
        <w:rPr>
          <w:iCs/>
        </w:rPr>
        <w:t>= 37,5 metru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U</w:t>
      </w:r>
      <w:r>
        <w:rPr>
          <w:iCs/>
          <w:vertAlign w:val="subscript"/>
        </w:rPr>
        <w:t>I</w:t>
      </w:r>
      <w:r>
        <w:rPr>
          <w:iCs/>
        </w:rPr>
        <w:t xml:space="preserve"> = 8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L</w:t>
      </w:r>
      <w:r>
        <w:rPr>
          <w:iCs/>
          <w:vertAlign w:val="subscript"/>
        </w:rPr>
        <w:t xml:space="preserve">I </w:t>
      </w:r>
      <w:r>
        <w:rPr>
          <w:iCs/>
        </w:rPr>
        <w:t>= 78 metrů (reálná kapacita = 4992 paletových míst)</w:t>
      </w:r>
    </w:p>
    <w:p w:rsidR="00376999" w:rsidRDefault="00376999" w:rsidP="0044088D">
      <w:pPr>
        <w:spacing w:after="0"/>
        <w:jc w:val="both"/>
        <w:rPr>
          <w:iCs/>
        </w:rPr>
      </w:pP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varianta II: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P = 5000</w:t>
      </w:r>
    </w:p>
    <w:p w:rsidR="006C29EA" w:rsidRDefault="006C29EA" w:rsidP="0044088D">
      <w:pPr>
        <w:spacing w:after="0"/>
        <w:jc w:val="both"/>
        <w:rPr>
          <w:iCs/>
        </w:rPr>
      </w:pPr>
      <w:proofErr w:type="spellStart"/>
      <w:r>
        <w:rPr>
          <w:iCs/>
        </w:rPr>
        <w:t>m</w:t>
      </w:r>
      <w:r>
        <w:rPr>
          <w:iCs/>
          <w:vertAlign w:val="subscript"/>
        </w:rPr>
        <w:t>L</w:t>
      </w:r>
      <w:proofErr w:type="spellEnd"/>
      <w:r>
        <w:rPr>
          <w:iCs/>
        </w:rPr>
        <w:t xml:space="preserve"> = 1,0 metru</w:t>
      </w:r>
    </w:p>
    <w:p w:rsidR="006C29EA" w:rsidRDefault="006C29EA" w:rsidP="0044088D">
      <w:pPr>
        <w:spacing w:after="0"/>
        <w:jc w:val="both"/>
        <w:rPr>
          <w:iCs/>
        </w:rPr>
      </w:pPr>
      <w:proofErr w:type="spellStart"/>
      <w:r>
        <w:rPr>
          <w:iCs/>
        </w:rPr>
        <w:t>m</w:t>
      </w:r>
      <w:r>
        <w:rPr>
          <w:iCs/>
          <w:vertAlign w:val="subscript"/>
        </w:rPr>
        <w:t>B</w:t>
      </w:r>
      <w:proofErr w:type="spellEnd"/>
      <w:r>
        <w:rPr>
          <w:iCs/>
          <w:vertAlign w:val="subscript"/>
        </w:rPr>
        <w:t xml:space="preserve"> </w:t>
      </w:r>
      <w:r>
        <w:rPr>
          <w:iCs/>
        </w:rPr>
        <w:t xml:space="preserve"> = 4,5 metru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n = 6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B</w:t>
      </w:r>
      <w:r>
        <w:rPr>
          <w:iCs/>
          <w:vertAlign w:val="subscript"/>
        </w:rPr>
        <w:t>II</w:t>
      </w:r>
      <w:r>
        <w:rPr>
          <w:iCs/>
        </w:rPr>
        <w:t xml:space="preserve"> = 30,6 metru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U</w:t>
      </w:r>
      <w:r>
        <w:rPr>
          <w:iCs/>
          <w:vertAlign w:val="subscript"/>
        </w:rPr>
        <w:t xml:space="preserve">II </w:t>
      </w:r>
      <w:r>
        <w:rPr>
          <w:iCs/>
        </w:rPr>
        <w:t>= 7</w:t>
      </w: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L</w:t>
      </w:r>
      <w:r>
        <w:rPr>
          <w:iCs/>
          <w:vertAlign w:val="subscript"/>
        </w:rPr>
        <w:t>II</w:t>
      </w:r>
      <w:r>
        <w:rPr>
          <w:iCs/>
        </w:rPr>
        <w:t xml:space="preserve"> = 60 metrů (reálná kapacita = 5040 paletových míst)</w:t>
      </w:r>
    </w:p>
    <w:p w:rsidR="006C29EA" w:rsidRDefault="006C29EA" w:rsidP="0044088D">
      <w:pPr>
        <w:spacing w:after="0"/>
        <w:jc w:val="both"/>
        <w:rPr>
          <w:iCs/>
        </w:rPr>
      </w:pPr>
    </w:p>
    <w:p w:rsidR="006C29EA" w:rsidRDefault="006C29EA" w:rsidP="0044088D">
      <w:pPr>
        <w:spacing w:after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Poznámka: modul </w:t>
      </w:r>
      <w:proofErr w:type="spellStart"/>
      <w:r>
        <w:rPr>
          <w:iCs/>
          <w:sz w:val="20"/>
          <w:szCs w:val="20"/>
        </w:rPr>
        <w:t>m</w:t>
      </w:r>
      <w:r>
        <w:rPr>
          <w:iCs/>
          <w:sz w:val="20"/>
          <w:szCs w:val="20"/>
          <w:vertAlign w:val="subscript"/>
        </w:rPr>
        <w:t>L</w:t>
      </w:r>
      <w:r>
        <w:rPr>
          <w:iCs/>
          <w:sz w:val="20"/>
          <w:szCs w:val="20"/>
        </w:rPr>
        <w:t>.m</w:t>
      </w:r>
      <w:r>
        <w:rPr>
          <w:iCs/>
          <w:sz w:val="20"/>
          <w:szCs w:val="20"/>
          <w:vertAlign w:val="subscript"/>
        </w:rPr>
        <w:t>B</w:t>
      </w:r>
      <w:proofErr w:type="spellEnd"/>
      <w:r>
        <w:rPr>
          <w:iCs/>
          <w:sz w:val="20"/>
          <w:szCs w:val="20"/>
          <w:vertAlign w:val="subscript"/>
        </w:rPr>
        <w:t xml:space="preserve">  </w:t>
      </w:r>
      <w:r>
        <w:rPr>
          <w:iCs/>
          <w:sz w:val="20"/>
          <w:szCs w:val="20"/>
        </w:rPr>
        <w:t xml:space="preserve">je dán ukládáním paletových jednotek do buněk v regálu na šířku (jsou manipulovány vysokozdvižným vozíkem ze širší strany) nebo na hloubku (manipulace z užší strany) a zahrnuje: dvě paletové jednotky uskladněné v regálech na protilehlých stranách manipulační uličky, k jejichž půdorysným rozměrům jsou připočteny tloušťky regálové konstrukce, a dále šířku manipulační uličky odpovídající zvolenému typu vysokozdvižného vozíku (při paletách o rozměru 800x1200 mm, ukládaných na hloubku, a šířce manipulační uličky 2100 mm může být </w:t>
      </w:r>
      <w:proofErr w:type="spellStart"/>
      <w:r>
        <w:rPr>
          <w:iCs/>
          <w:sz w:val="20"/>
          <w:szCs w:val="20"/>
        </w:rPr>
        <w:t>m</w:t>
      </w:r>
      <w:r>
        <w:rPr>
          <w:iCs/>
          <w:sz w:val="20"/>
          <w:szCs w:val="20"/>
          <w:vertAlign w:val="subscript"/>
        </w:rPr>
        <w:t>L</w:t>
      </w:r>
      <w:proofErr w:type="spellEnd"/>
      <w:r>
        <w:rPr>
          <w:iCs/>
          <w:sz w:val="20"/>
          <w:szCs w:val="20"/>
          <w:vertAlign w:val="subscript"/>
        </w:rPr>
        <w:t xml:space="preserve"> </w:t>
      </w:r>
      <w:r>
        <w:rPr>
          <w:iCs/>
          <w:sz w:val="20"/>
          <w:szCs w:val="20"/>
        </w:rPr>
        <w:t xml:space="preserve">= 1000 mm a </w:t>
      </w:r>
      <w:proofErr w:type="spellStart"/>
      <w:r>
        <w:rPr>
          <w:iCs/>
          <w:sz w:val="20"/>
          <w:szCs w:val="20"/>
        </w:rPr>
        <w:t>m</w:t>
      </w:r>
      <w:r>
        <w:rPr>
          <w:iCs/>
          <w:sz w:val="20"/>
          <w:szCs w:val="20"/>
          <w:vertAlign w:val="subscript"/>
        </w:rPr>
        <w:t>B</w:t>
      </w:r>
      <w:proofErr w:type="spellEnd"/>
      <w:r>
        <w:rPr>
          <w:iCs/>
          <w:sz w:val="20"/>
          <w:szCs w:val="20"/>
          <w:vertAlign w:val="subscript"/>
        </w:rPr>
        <w:t xml:space="preserve"> </w:t>
      </w:r>
      <w:r>
        <w:rPr>
          <w:iCs/>
          <w:sz w:val="20"/>
          <w:szCs w:val="20"/>
        </w:rPr>
        <w:t>= 4500 mm).</w:t>
      </w:r>
      <w:r w:rsidR="00512092">
        <w:rPr>
          <w:iCs/>
          <w:sz w:val="20"/>
          <w:szCs w:val="20"/>
        </w:rPr>
        <w:t xml:space="preserve"> (Podobně je možné postupovat u policových regálů při ruční obsluze; šířka manipulační uličky se volí podle použitých plošinových ručních vozíků, event. s možností míjení dvou vozíků.) </w:t>
      </w:r>
    </w:p>
    <w:p w:rsidR="006C29EA" w:rsidRDefault="006C29EA" w:rsidP="0044088D">
      <w:pPr>
        <w:spacing w:after="0"/>
        <w:jc w:val="both"/>
        <w:rPr>
          <w:iCs/>
          <w:sz w:val="20"/>
          <w:szCs w:val="20"/>
        </w:rPr>
      </w:pPr>
    </w:p>
    <w:p w:rsidR="006C29EA" w:rsidRDefault="006C29EA" w:rsidP="0044088D">
      <w:pPr>
        <w:spacing w:after="0"/>
        <w:jc w:val="both"/>
        <w:rPr>
          <w:iCs/>
        </w:rPr>
      </w:pPr>
      <w:r>
        <w:rPr>
          <w:iCs/>
        </w:rPr>
        <w:t>Ve  výpočtu nákladů potom vychází:</w:t>
      </w:r>
    </w:p>
    <w:p w:rsidR="000C5C11" w:rsidRDefault="00C42187" w:rsidP="0044088D">
      <w:pPr>
        <w:spacing w:after="0"/>
        <w:jc w:val="both"/>
        <w:rPr>
          <w:iCs/>
        </w:rPr>
      </w:pPr>
      <w:proofErr w:type="gramStart"/>
      <w:r>
        <w:rPr>
          <w:iCs/>
        </w:rPr>
        <w:t xml:space="preserve">pro </w:t>
      </w:r>
      <w:r w:rsidR="006C29EA">
        <w:rPr>
          <w:iCs/>
        </w:rPr>
        <w:t>B . L . N</w:t>
      </w:r>
      <w:r w:rsidR="00856826">
        <w:rPr>
          <w:iCs/>
        </w:rPr>
        <w:t xml:space="preserve"> je</w:t>
      </w:r>
      <w:proofErr w:type="gramEnd"/>
      <w:r w:rsidR="00856826">
        <w:rPr>
          <w:iCs/>
        </w:rPr>
        <w:t xml:space="preserve"> </w:t>
      </w:r>
      <w:r w:rsidR="006C29EA">
        <w:rPr>
          <w:iCs/>
        </w:rPr>
        <w:t>varianta II o 32 % výhodnější než variant</w:t>
      </w:r>
      <w:r w:rsidR="00512092">
        <w:rPr>
          <w:iCs/>
        </w:rPr>
        <w:t>a I</w:t>
      </w:r>
      <w:r>
        <w:rPr>
          <w:iCs/>
        </w:rPr>
        <w:t xml:space="preserve">, pro </w:t>
      </w:r>
      <w:proofErr w:type="spellStart"/>
      <w:r w:rsidR="006C29EA">
        <w:rPr>
          <w:iCs/>
        </w:rPr>
        <w:t>k</w:t>
      </w:r>
      <w:r w:rsidR="006C29EA">
        <w:rPr>
          <w:iCs/>
          <w:vertAlign w:val="subscript"/>
        </w:rPr>
        <w:t>vf</w:t>
      </w:r>
      <w:proofErr w:type="spellEnd"/>
      <w:r w:rsidR="006C29EA">
        <w:rPr>
          <w:iCs/>
          <w:vertAlign w:val="subscript"/>
        </w:rPr>
        <w:t xml:space="preserve"> </w:t>
      </w:r>
      <w:r w:rsidR="006C29EA">
        <w:rPr>
          <w:iCs/>
        </w:rPr>
        <w:t>. I</w:t>
      </w:r>
      <w:r w:rsidR="006C29EA">
        <w:rPr>
          <w:iCs/>
          <w:vertAlign w:val="subscript"/>
        </w:rPr>
        <w:t xml:space="preserve">v </w:t>
      </w:r>
      <w:r w:rsidR="00512092">
        <w:rPr>
          <w:iCs/>
          <w:vertAlign w:val="subscript"/>
        </w:rPr>
        <w:t xml:space="preserve"> </w:t>
      </w:r>
      <w:r w:rsidR="00856826">
        <w:rPr>
          <w:iCs/>
          <w:vertAlign w:val="subscript"/>
        </w:rPr>
        <w:t xml:space="preserve">je </w:t>
      </w:r>
      <w:r w:rsidR="006C29EA">
        <w:rPr>
          <w:iCs/>
        </w:rPr>
        <w:t>varianta I o 26 % výhodnější než varianta II</w:t>
      </w:r>
      <w:r>
        <w:rPr>
          <w:iCs/>
        </w:rPr>
        <w:t xml:space="preserve">, pro </w:t>
      </w:r>
      <w:r w:rsidR="006C29EA">
        <w:rPr>
          <w:iCs/>
        </w:rPr>
        <w:t>I</w:t>
      </w:r>
      <w:r w:rsidR="006C29EA">
        <w:rPr>
          <w:iCs/>
          <w:vertAlign w:val="subscript"/>
        </w:rPr>
        <w:t>v</w:t>
      </w:r>
      <w:r w:rsidR="006C29EA">
        <w:rPr>
          <w:iCs/>
        </w:rPr>
        <w:t xml:space="preserve"> . </w:t>
      </w:r>
      <w:proofErr w:type="spellStart"/>
      <w:r w:rsidR="006C29EA">
        <w:rPr>
          <w:iCs/>
        </w:rPr>
        <w:t>K</w:t>
      </w:r>
      <w:r w:rsidR="006C29EA">
        <w:rPr>
          <w:iCs/>
          <w:vertAlign w:val="subscript"/>
        </w:rPr>
        <w:t>rp</w:t>
      </w:r>
      <w:proofErr w:type="spellEnd"/>
      <w:r>
        <w:rPr>
          <w:iCs/>
          <w:vertAlign w:val="subscript"/>
        </w:rPr>
        <w:t xml:space="preserve">  </w:t>
      </w:r>
      <w:r w:rsidR="00856826">
        <w:rPr>
          <w:iCs/>
        </w:rPr>
        <w:t xml:space="preserve">je </w:t>
      </w:r>
      <w:r w:rsidR="006C29EA">
        <w:rPr>
          <w:iCs/>
        </w:rPr>
        <w:t>varianta I o 26 % výhodnější než varianta II</w:t>
      </w:r>
      <w:r>
        <w:rPr>
          <w:iCs/>
        </w:rPr>
        <w:t xml:space="preserve">,             pro </w:t>
      </w:r>
      <w:proofErr w:type="spellStart"/>
      <w:r w:rsidR="006C29EA">
        <w:rPr>
          <w:iCs/>
        </w:rPr>
        <w:t>Q</w:t>
      </w:r>
      <w:r w:rsidR="006C29EA">
        <w:rPr>
          <w:iCs/>
          <w:vertAlign w:val="subscript"/>
        </w:rPr>
        <w:t>s</w:t>
      </w:r>
      <w:proofErr w:type="spellEnd"/>
      <w:r w:rsidR="006C29EA">
        <w:rPr>
          <w:iCs/>
        </w:rPr>
        <w:t xml:space="preserve"> . </w:t>
      </w:r>
      <w:proofErr w:type="spellStart"/>
      <w:r w:rsidR="006C29EA">
        <w:rPr>
          <w:iCs/>
        </w:rPr>
        <w:t>T</w:t>
      </w:r>
      <w:r w:rsidR="006C29EA">
        <w:rPr>
          <w:iCs/>
          <w:vertAlign w:val="subscript"/>
        </w:rPr>
        <w:t>vc</w:t>
      </w:r>
      <w:proofErr w:type="spellEnd"/>
      <w:r w:rsidR="006C29EA">
        <w:rPr>
          <w:iCs/>
        </w:rPr>
        <w:t xml:space="preserve"> . M</w:t>
      </w:r>
      <w:r w:rsidR="00512092">
        <w:rPr>
          <w:iCs/>
        </w:rPr>
        <w:t xml:space="preserve"> </w:t>
      </w:r>
      <w:r>
        <w:rPr>
          <w:iCs/>
        </w:rPr>
        <w:t xml:space="preserve"> </w:t>
      </w:r>
      <w:r w:rsidR="00856826">
        <w:rPr>
          <w:iCs/>
        </w:rPr>
        <w:t xml:space="preserve">je </w:t>
      </w:r>
      <w:r w:rsidR="006C29EA">
        <w:rPr>
          <w:iCs/>
        </w:rPr>
        <w:t>varianta I o 1 % výhodnější než varianta II</w:t>
      </w:r>
      <w:r>
        <w:rPr>
          <w:iCs/>
        </w:rPr>
        <w:t xml:space="preserve"> a pro </w:t>
      </w:r>
      <w:proofErr w:type="spellStart"/>
      <w:r w:rsidR="006C29EA">
        <w:rPr>
          <w:iCs/>
        </w:rPr>
        <w:t>k</w:t>
      </w:r>
      <w:r w:rsidR="006C29EA">
        <w:rPr>
          <w:iCs/>
          <w:vertAlign w:val="subscript"/>
        </w:rPr>
        <w:t>pf</w:t>
      </w:r>
      <w:proofErr w:type="spellEnd"/>
      <w:r w:rsidR="006C29EA">
        <w:rPr>
          <w:iCs/>
        </w:rPr>
        <w:t xml:space="preserve"> . P . </w:t>
      </w:r>
      <w:proofErr w:type="spellStart"/>
      <w:r w:rsidR="006C29EA">
        <w:rPr>
          <w:iCs/>
        </w:rPr>
        <w:t>I</w:t>
      </w:r>
      <w:r w:rsidR="006C29EA">
        <w:rPr>
          <w:iCs/>
          <w:vertAlign w:val="subscript"/>
        </w:rPr>
        <w:t>p</w:t>
      </w:r>
      <w:proofErr w:type="spellEnd"/>
      <w:r w:rsidR="00512092">
        <w:rPr>
          <w:iCs/>
          <w:vertAlign w:val="subscript"/>
        </w:rPr>
        <w:t xml:space="preserve"> </w:t>
      </w:r>
      <w:r w:rsidR="00512092">
        <w:rPr>
          <w:iCs/>
        </w:rPr>
        <w:t xml:space="preserve"> </w:t>
      </w:r>
      <w:r w:rsidR="00856826">
        <w:rPr>
          <w:iCs/>
        </w:rPr>
        <w:t xml:space="preserve">je </w:t>
      </w:r>
      <w:r w:rsidR="006C29EA">
        <w:rPr>
          <w:iCs/>
        </w:rPr>
        <w:t xml:space="preserve">varianta I </w:t>
      </w:r>
      <w:r w:rsidR="00856826">
        <w:rPr>
          <w:iCs/>
        </w:rPr>
        <w:t xml:space="preserve">    </w:t>
      </w:r>
      <w:r w:rsidR="006C29EA">
        <w:rPr>
          <w:iCs/>
        </w:rPr>
        <w:t>o 1 % výhodnější než varianta II</w:t>
      </w:r>
      <w:r>
        <w:rPr>
          <w:iCs/>
        </w:rPr>
        <w:t>;</w:t>
      </w:r>
    </w:p>
    <w:p w:rsidR="003957F0" w:rsidRDefault="00856826" w:rsidP="0044088D">
      <w:pPr>
        <w:spacing w:after="0"/>
        <w:jc w:val="both"/>
        <w:rPr>
          <w:iCs/>
        </w:rPr>
      </w:pPr>
      <w:r>
        <w:rPr>
          <w:iCs/>
        </w:rPr>
        <w:t xml:space="preserve">z hlediska celkových ročních nákladů </w:t>
      </w:r>
      <w:r w:rsidR="006C29EA">
        <w:rPr>
          <w:iCs/>
        </w:rPr>
        <w:t>K</w:t>
      </w:r>
      <w:r>
        <w:rPr>
          <w:iCs/>
        </w:rPr>
        <w:t xml:space="preserve"> vychází</w:t>
      </w:r>
      <w:r w:rsidR="00512092">
        <w:rPr>
          <w:iCs/>
        </w:rPr>
        <w:t> </w:t>
      </w:r>
      <w:r>
        <w:rPr>
          <w:iCs/>
        </w:rPr>
        <w:t>varianta II</w:t>
      </w:r>
      <w:r w:rsidR="006C29EA">
        <w:rPr>
          <w:iCs/>
        </w:rPr>
        <w:t xml:space="preserve"> celkově o 25 % výhodnější než varianta I</w:t>
      </w:r>
      <w:r w:rsidR="00C42187">
        <w:rPr>
          <w:iCs/>
        </w:rPr>
        <w:t>.</w:t>
      </w:r>
    </w:p>
    <w:p w:rsidR="000C5C11" w:rsidRDefault="000C5C11" w:rsidP="0044088D">
      <w:pPr>
        <w:spacing w:after="0"/>
        <w:jc w:val="both"/>
        <w:rPr>
          <w:iCs/>
        </w:rPr>
      </w:pPr>
      <w:r>
        <w:rPr>
          <w:iCs/>
        </w:rPr>
        <w:t>Potvrzuje se tak skutečnost, že sklady s větší skladovací výškou jsou ekonomičtější</w:t>
      </w:r>
      <w:r w:rsidR="003957F0">
        <w:rPr>
          <w:iCs/>
        </w:rPr>
        <w:t xml:space="preserve">, </w:t>
      </w:r>
      <w:r>
        <w:rPr>
          <w:iCs/>
        </w:rPr>
        <w:t>čili</w:t>
      </w:r>
      <w:r w:rsidR="003957F0">
        <w:rPr>
          <w:iCs/>
        </w:rPr>
        <w:t xml:space="preserve"> při řešení </w:t>
      </w:r>
      <w:r w:rsidR="002830D3">
        <w:rPr>
          <w:iCs/>
        </w:rPr>
        <w:t xml:space="preserve">skladu </w:t>
      </w:r>
      <w:r w:rsidR="003957F0">
        <w:rPr>
          <w:iCs/>
        </w:rPr>
        <w:t>je třeba klást důraz na využití prostoru, nikoli pouze na plošné uspořádání.</w:t>
      </w:r>
      <w:r w:rsidR="00856826">
        <w:rPr>
          <w:iCs/>
        </w:rPr>
        <w:t xml:space="preserve"> </w:t>
      </w:r>
    </w:p>
    <w:p w:rsidR="002830D3" w:rsidRDefault="002830D3" w:rsidP="0044088D">
      <w:pPr>
        <w:spacing w:after="0"/>
        <w:jc w:val="both"/>
        <w:rPr>
          <w:iCs/>
        </w:rPr>
      </w:pPr>
    </w:p>
    <w:p w:rsidR="00512092" w:rsidRDefault="00512092" w:rsidP="0044088D">
      <w:pPr>
        <w:spacing w:after="0"/>
        <w:jc w:val="both"/>
        <w:rPr>
          <w:iCs/>
        </w:rPr>
      </w:pPr>
    </w:p>
    <w:p w:rsidR="002830D3" w:rsidRDefault="006C29EA" w:rsidP="0044088D">
      <w:pPr>
        <w:spacing w:after="0"/>
        <w:jc w:val="both"/>
        <w:rPr>
          <w:iCs/>
        </w:rPr>
      </w:pPr>
      <w:r>
        <w:rPr>
          <w:iCs/>
        </w:rPr>
        <w:t xml:space="preserve">Depozitáře a sklady organizací ve sféře kultury mají ve srovnání s firemními sklady řadu </w:t>
      </w:r>
      <w:r w:rsidRPr="000C5C11">
        <w:rPr>
          <w:iCs/>
        </w:rPr>
        <w:t>analogických znaků</w:t>
      </w:r>
      <w:r w:rsidR="000C5C11">
        <w:rPr>
          <w:iCs/>
        </w:rPr>
        <w:t xml:space="preserve">, </w:t>
      </w:r>
      <w:r w:rsidR="000C5C11">
        <w:t>z</w:t>
      </w:r>
      <w:r>
        <w:t>ároveň lze konstatovat řadu specifik.</w:t>
      </w:r>
      <w:r w:rsidR="000C5C11">
        <w:rPr>
          <w:iCs/>
        </w:rPr>
        <w:t xml:space="preserve"> </w:t>
      </w:r>
    </w:p>
    <w:p w:rsidR="006C29EA" w:rsidRDefault="006C29EA" w:rsidP="0044088D">
      <w:pPr>
        <w:jc w:val="both"/>
        <w:rPr>
          <w:iCs/>
        </w:rPr>
      </w:pPr>
      <w:r>
        <w:rPr>
          <w:b/>
          <w:iCs/>
        </w:rPr>
        <w:lastRenderedPageBreak/>
        <w:t>Specifika u depozitářů</w:t>
      </w:r>
      <w:r>
        <w:rPr>
          <w:iCs/>
        </w:rPr>
        <w:t xml:space="preserve"> mohou být vyvolána jak provozními potřebami, tak povinnostmi vyplývajícími z legislativy, a mohou se týkat: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odlišných charakteristik průtoku, resp. uchovávání se všemi důsledky pro prostorové uspořádání (layout) objektu, jeho vybavení a procesy v něm probíhající,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zabezpečení budov s ohledem na uchovávání sbírkových předmětů nevyčíslitelné hodnoty, pohybu osob, osobní odpovědnosti pracovníků,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větrání včetně filtrace vzduchu, vytápění a klimatizace včetně měření a regulace,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elektrických rozvodů, osvětlení, náhradních zdrojů elektrické energie, 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rozvodů vody a kanalizace,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požární ochrany (rozvodů plynového hasebního média, jeho skladování, vzduchotěsnosti vymezených prostorů, oddělení jednotlivých prostorů),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plošného zatížení podlah,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identifikace, klasifikace a </w:t>
      </w:r>
      <w:proofErr w:type="spellStart"/>
      <w:r>
        <w:rPr>
          <w:iCs/>
        </w:rPr>
        <w:t>reklasifikace</w:t>
      </w:r>
      <w:proofErr w:type="spellEnd"/>
      <w:r>
        <w:rPr>
          <w:iCs/>
        </w:rPr>
        <w:t xml:space="preserve"> sbírkových předmětů, jejich inventarizace, revize stavu,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prostorového uspořádání (oddělení, zón) ve vazbě na organizační strukturu,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depozitárního </w:t>
      </w:r>
      <w:proofErr w:type="spellStart"/>
      <w:r>
        <w:rPr>
          <w:iCs/>
        </w:rPr>
        <w:t>fundusu</w:t>
      </w:r>
      <w:proofErr w:type="spellEnd"/>
      <w:r>
        <w:rPr>
          <w:iCs/>
        </w:rPr>
        <w:t xml:space="preserve"> (regálů aj. vybavení, včetně ochrany před prachem),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způsobu ukládání sbírkových předmětů (jejich obalů, skladovacích prostředků),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dočasného skladování nově nabytých sbírkových předmětů a předmětů vyjmutých pro badatelské, konzervační nebo výstavní účely,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manipulace a přepravy sbírkových předmětů uvnitř budov, přípravy k externí přepravě, ložných operací,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odborných činností souvisejících s provozem (příjmu, karantény, očišťování a konzervace sbírkových předmětů, skladování jimi používaných chemických látek včetně hořlavin),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badatelské prezenční činnosti, přípravy výstav, fotodokumentace a digitalizace sbírkových fondů, výpůjčních služeb,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pomocných provozů (skladování obalových materiálů a prostředků, umístění skladových vozíků, údržby),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úklidu, </w:t>
      </w:r>
    </w:p>
    <w:p w:rsidR="006C29EA" w:rsidRDefault="006C29EA" w:rsidP="0044088D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desinfekce, desinsekce, deratizace.</w:t>
      </w:r>
    </w:p>
    <w:p w:rsidR="006C29EA" w:rsidRPr="006C29EA" w:rsidRDefault="006C29EA" w:rsidP="0044088D">
      <w:pPr>
        <w:jc w:val="both"/>
      </w:pPr>
    </w:p>
    <w:p w:rsidR="006C29EA" w:rsidRPr="006C29EA" w:rsidRDefault="006C29EA" w:rsidP="005235D8">
      <w:pPr>
        <w:rPr>
          <w:i/>
        </w:rPr>
      </w:pPr>
    </w:p>
    <w:sectPr w:rsidR="006C29EA" w:rsidRPr="006C29EA" w:rsidSect="00656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FB" w:rsidRDefault="007A09FB" w:rsidP="006C29EA">
      <w:pPr>
        <w:spacing w:after="0"/>
      </w:pPr>
      <w:r>
        <w:separator/>
      </w:r>
    </w:p>
  </w:endnote>
  <w:endnote w:type="continuationSeparator" w:id="0">
    <w:p w:rsidR="007A09FB" w:rsidRDefault="007A09FB" w:rsidP="006C2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FB" w:rsidRDefault="007A09FB" w:rsidP="006C29EA">
      <w:pPr>
        <w:spacing w:after="0"/>
      </w:pPr>
      <w:r>
        <w:separator/>
      </w:r>
    </w:p>
  </w:footnote>
  <w:footnote w:type="continuationSeparator" w:id="0">
    <w:p w:rsidR="007A09FB" w:rsidRDefault="007A09FB" w:rsidP="006C29EA">
      <w:pPr>
        <w:spacing w:after="0"/>
      </w:pPr>
      <w:r>
        <w:continuationSeparator/>
      </w:r>
    </w:p>
  </w:footnote>
  <w:footnote w:id="1">
    <w:p w:rsidR="00134F4A" w:rsidRDefault="00134F4A" w:rsidP="0044088D">
      <w:pPr>
        <w:pStyle w:val="Textpoznpodarou"/>
        <w:jc w:val="both"/>
      </w:pPr>
      <w:bookmarkStart w:id="0" w:name="_GoBack"/>
      <w:bookmarkEnd w:id="0"/>
      <w:r>
        <w:rPr>
          <w:rStyle w:val="Znakapoznpodarou"/>
        </w:rPr>
        <w:footnoteRef/>
      </w:r>
      <w:r>
        <w:t xml:space="preserve"> Analogicky lze postupovat v případě </w:t>
      </w:r>
      <w:r w:rsidR="00512092">
        <w:t>skladů</w:t>
      </w:r>
      <w:r>
        <w:t xml:space="preserve"> </w:t>
      </w:r>
      <w:r w:rsidR="003957F0">
        <w:t>„</w:t>
      </w:r>
      <w:proofErr w:type="spellStart"/>
      <w:r w:rsidR="003957F0">
        <w:t>miniload</w:t>
      </w:r>
      <w:proofErr w:type="spellEnd"/>
      <w:r w:rsidR="003957F0">
        <w:t xml:space="preserve">“ </w:t>
      </w:r>
      <w:r>
        <w:t>s</w:t>
      </w:r>
      <w:r w:rsidR="00512092">
        <w:t> </w:t>
      </w:r>
      <w:r w:rsidRPr="003957F0">
        <w:t>ukládacími</w:t>
      </w:r>
      <w:r w:rsidR="00512092" w:rsidRPr="003957F0">
        <w:t xml:space="preserve"> bednami</w:t>
      </w:r>
      <w:r w:rsidR="00512092">
        <w:t xml:space="preserve"> a regálovými zakladači.</w:t>
      </w:r>
    </w:p>
  </w:footnote>
  <w:footnote w:id="2">
    <w:p w:rsidR="006C29EA" w:rsidRDefault="006C29EA" w:rsidP="004408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Kapacita je v příkladu zvolena jako limitní (modelová), odvozená od  výkonových možností jediného vysokozdvižného vozíku při obsluze.</w:t>
      </w:r>
      <w:r w:rsidR="00512092">
        <w:t xml:space="preserve"> </w:t>
      </w:r>
      <w:r>
        <w:t>Technologie byla vybrána s ohledem na demonstraci ekonomických výsledků dvou variant, lišících se skladovací výškou.</w:t>
      </w:r>
    </w:p>
    <w:p w:rsidR="006C29EA" w:rsidRDefault="006C29EA" w:rsidP="0044088D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360D"/>
    <w:multiLevelType w:val="hybridMultilevel"/>
    <w:tmpl w:val="79B6D8A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4E4A3A4">
      <w:numFmt w:val="bullet"/>
      <w:lvlText w:val=""/>
      <w:lvlJc w:val="left"/>
      <w:pPr>
        <w:tabs>
          <w:tab w:val="num" w:pos="1665"/>
        </w:tabs>
        <w:ind w:left="1665" w:hanging="585"/>
      </w:pPr>
      <w:rPr>
        <w:rFonts w:ascii="Wingdings" w:eastAsia="Times New Roman" w:hAnsi="Wingdings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3330"/>
    <w:multiLevelType w:val="hybridMultilevel"/>
    <w:tmpl w:val="CCFC8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990"/>
    <w:multiLevelType w:val="hybridMultilevel"/>
    <w:tmpl w:val="A628F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918"/>
    <w:multiLevelType w:val="hybridMultilevel"/>
    <w:tmpl w:val="27E60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4A3A4">
      <w:numFmt w:val="bullet"/>
      <w:lvlText w:val=""/>
      <w:lvlJc w:val="left"/>
      <w:pPr>
        <w:tabs>
          <w:tab w:val="num" w:pos="1665"/>
        </w:tabs>
        <w:ind w:left="1665" w:hanging="585"/>
      </w:pPr>
      <w:rPr>
        <w:rFonts w:ascii="Wingdings" w:eastAsia="Times New Roman" w:hAnsi="Wingdings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EA"/>
    <w:rsid w:val="00023923"/>
    <w:rsid w:val="000A7F6C"/>
    <w:rsid w:val="000C5C11"/>
    <w:rsid w:val="00134F4A"/>
    <w:rsid w:val="0016795D"/>
    <w:rsid w:val="002830D3"/>
    <w:rsid w:val="002D36BF"/>
    <w:rsid w:val="00372A63"/>
    <w:rsid w:val="00376999"/>
    <w:rsid w:val="003957F0"/>
    <w:rsid w:val="0044088D"/>
    <w:rsid w:val="004C11C8"/>
    <w:rsid w:val="00512092"/>
    <w:rsid w:val="005235D8"/>
    <w:rsid w:val="00565B5C"/>
    <w:rsid w:val="0059526F"/>
    <w:rsid w:val="006567D2"/>
    <w:rsid w:val="006C29EA"/>
    <w:rsid w:val="007310B2"/>
    <w:rsid w:val="007A09FB"/>
    <w:rsid w:val="00856826"/>
    <w:rsid w:val="008578AA"/>
    <w:rsid w:val="0092653D"/>
    <w:rsid w:val="009A4CA4"/>
    <w:rsid w:val="00A71CB4"/>
    <w:rsid w:val="00AA5C9A"/>
    <w:rsid w:val="00AC52AC"/>
    <w:rsid w:val="00AE039B"/>
    <w:rsid w:val="00C42187"/>
    <w:rsid w:val="00EB5CA8"/>
    <w:rsid w:val="00F17A8C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9DAC8-C34C-4D83-9021-2D23636E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9E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29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29EA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59"/>
    <w:rsid w:val="006C29EA"/>
    <w:pPr>
      <w:spacing w:after="0"/>
    </w:pPr>
    <w:rPr>
      <w:rFonts w:ascii="Calibri" w:hAnsi="Calibri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29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C1CB-0C52-43B2-89E5-41567A8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2670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 Pernica</cp:lastModifiedBy>
  <cp:revision>3</cp:revision>
  <dcterms:created xsi:type="dcterms:W3CDTF">2016-04-13T18:11:00Z</dcterms:created>
  <dcterms:modified xsi:type="dcterms:W3CDTF">2016-04-18T10:09:00Z</dcterms:modified>
</cp:coreProperties>
</file>